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73DB2">
      <w:pPr>
        <w:ind w:left="2880" w:hanging="2880"/>
        <w:jc w:val="center"/>
        <w:rPr>
          <w:rFonts w:hint="eastAsia" w:ascii="Calibri" w:eastAsia="FMJNJK+Arial"/>
          <w:b/>
          <w:bCs/>
          <w:sz w:val="19"/>
          <w:szCs w:val="19"/>
        </w:rPr>
      </w:pPr>
      <w:bookmarkStart w:id="0" w:name="_GoBack"/>
      <w:bookmarkEnd w:id="0"/>
      <w:r>
        <w:rPr>
          <w:rFonts w:hint="eastAsia" w:ascii="Calibri" w:eastAsia="FMJNJK+Arial"/>
          <w:sz w:val="19"/>
          <w:szCs w:val="19"/>
        </w:rPr>
        <w:t xml:space="preserve">           </w:t>
      </w:r>
      <w:r>
        <w:rPr>
          <w:rFonts w:hint="eastAsia" w:ascii="Calibri" w:eastAsia="FMJNJK+Arial"/>
          <w:b/>
          <w:bCs/>
          <w:sz w:val="19"/>
          <w:szCs w:val="19"/>
        </w:rPr>
        <w:t xml:space="preserve"> </w:t>
      </w:r>
    </w:p>
    <w:p w14:paraId="27E263AC">
      <w:pPr>
        <w:ind w:left="2880" w:hanging="2880"/>
        <w:jc w:val="center"/>
        <w:rPr>
          <w:rFonts w:hint="eastAsia" w:ascii="Calibri"/>
          <w:b/>
          <w:bCs/>
          <w:sz w:val="44"/>
          <w:szCs w:val="44"/>
        </w:rPr>
      </w:pPr>
      <w:r>
        <w:rPr>
          <w:rFonts w:ascii="Calibri"/>
          <w:b/>
          <w:bCs/>
          <w:sz w:val="44"/>
          <w:szCs w:val="44"/>
        </w:rPr>
        <w:t>SFP-T-AUTO-SERDES</w:t>
      </w:r>
      <w:r>
        <w:rPr>
          <w:rFonts w:hint="eastAsia" w:ascii="Calibri"/>
          <w:b/>
          <w:bCs/>
          <w:sz w:val="44"/>
          <w:szCs w:val="44"/>
        </w:rPr>
        <w:t xml:space="preserve"> </w:t>
      </w:r>
    </w:p>
    <w:p w14:paraId="46C8DDF1">
      <w:pPr>
        <w:ind w:left="2880" w:hanging="2880"/>
        <w:jc w:val="center"/>
        <w:rPr>
          <w:rFonts w:hint="eastAsia" w:ascii="Calibri"/>
          <w:b/>
          <w:sz w:val="24"/>
          <w:szCs w:val="24"/>
        </w:rPr>
      </w:pPr>
      <w:r>
        <w:rPr>
          <w:rFonts w:hint="eastAsia" w:ascii="Calibri"/>
          <w:b/>
          <w:bCs/>
          <w:sz w:val="44"/>
          <w:szCs w:val="44"/>
        </w:rPr>
        <w:t>Copper SFP Transceiver</w:t>
      </w:r>
    </w:p>
    <w:p w14:paraId="5B21DDAF">
      <w:pPr>
        <w:tabs>
          <w:tab w:val="left" w:pos="4090"/>
        </w:tabs>
        <w:rPr>
          <w:rFonts w:hint="eastAsia" w:ascii="Calibri"/>
          <w:b/>
          <w:sz w:val="24"/>
          <w:szCs w:val="24"/>
        </w:rPr>
      </w:pPr>
    </w:p>
    <w:p w14:paraId="72BEA0A1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1.</w:t>
      </w:r>
      <w:r>
        <w:rPr>
          <w:rFonts w:ascii="Calibri" w:hAnsi="Arial" w:cs="Arial"/>
          <w:b/>
          <w:sz w:val="30"/>
          <w:szCs w:val="30"/>
        </w:rPr>
        <w:t xml:space="preserve">PRODUCT FEATURES </w:t>
      </w:r>
    </w:p>
    <w:p w14:paraId="7D28C64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Up to 1.25 Gb/s </w:t>
      </w:r>
      <w:r>
        <w:rPr>
          <w:rFonts w:ascii="Calibri" w:hAnsi="Arial" w:cs="Arial"/>
          <w:kern w:val="0"/>
          <w:sz w:val="24"/>
          <w:szCs w:val="24"/>
        </w:rPr>
        <w:t>bi-directional</w:t>
      </w:r>
      <w:r>
        <w:rPr>
          <w:rFonts w:ascii="Calibri"/>
          <w:kern w:val="0"/>
          <w:sz w:val="24"/>
          <w:szCs w:val="24"/>
        </w:rPr>
        <w:t xml:space="preserve"> </w:t>
      </w:r>
      <w:r>
        <w:rPr>
          <w:rFonts w:ascii="Calibri" w:hAnsi="Arial" w:cs="Arial"/>
          <w:sz w:val="24"/>
          <w:szCs w:val="24"/>
        </w:rPr>
        <w:t xml:space="preserve">data links </w:t>
      </w:r>
    </w:p>
    <w:p w14:paraId="34AB5DFE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Hot-pluggable SFP footprint</w:t>
      </w:r>
    </w:p>
    <w:p w14:paraId="24C64B9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>Compact RJ-45 connector assembly</w:t>
      </w:r>
    </w:p>
    <w:p w14:paraId="328D329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Fully</w:t>
      </w:r>
      <w:r>
        <w:rPr>
          <w:rFonts w:ascii="Calibri" w:hAnsi="Arial" w:cs="Arial"/>
          <w:sz w:val="24"/>
          <w:szCs w:val="24"/>
        </w:rPr>
        <w:t xml:space="preserve"> metal enclosure, for lower EMI</w:t>
      </w:r>
    </w:p>
    <w:p w14:paraId="23838CC6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RoHS compliant and lead-free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1C81E44C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Single +3.3V power supply </w:t>
      </w:r>
    </w:p>
    <w:p w14:paraId="054A8B64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ascii="Calibri" w:hAnsi="Arial" w:cs="Arial"/>
          <w:sz w:val="24"/>
          <w:szCs w:val="24"/>
        </w:rPr>
        <w:t xml:space="preserve">10/100/1000 BASE-T operation in host systems with </w:t>
      </w:r>
      <w:r>
        <w:rPr>
          <w:rFonts w:hint="eastAsia" w:ascii="Calibri" w:hAnsi="Arial" w:cs="Arial"/>
          <w:sz w:val="24"/>
          <w:szCs w:val="24"/>
        </w:rPr>
        <w:t>SERDES</w:t>
      </w:r>
      <w:r>
        <w:rPr>
          <w:rFonts w:ascii="Calibri" w:hAnsi="Arial" w:cs="Arial"/>
          <w:sz w:val="24"/>
          <w:szCs w:val="24"/>
        </w:rPr>
        <w:t xml:space="preserve"> interface</w:t>
      </w:r>
    </w:p>
    <w:p w14:paraId="68424303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ascii="Calibri" w:hAnsi="Arial" w:cs="Arial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1.25 Gigabit Ethernet over Cat 5 cable</w:t>
      </w:r>
    </w:p>
    <w:p w14:paraId="78362165">
      <w:pPr>
        <w:numPr>
          <w:ilvl w:val="0"/>
          <w:numId w:val="1"/>
        </w:numPr>
        <w:tabs>
          <w:tab w:val="left" w:pos="284"/>
          <w:tab w:val="clear" w:pos="420"/>
        </w:tabs>
        <w:spacing w:after="120" w:afterLines="50" w:line="360" w:lineRule="auto"/>
        <w:ind w:left="284"/>
        <w:rPr>
          <w:rFonts w:hint="eastAsia" w:ascii="Calibri" w:hAnsi="Arial" w:cs="Arial"/>
          <w:sz w:val="24"/>
          <w:szCs w:val="24"/>
        </w:rPr>
      </w:pPr>
      <w:r>
        <w:rPr>
          <w:rFonts w:hint="eastAsia" w:ascii="Calibri" w:hAnsi="Arial" w:cs="Arial"/>
          <w:kern w:val="0"/>
          <w:sz w:val="24"/>
          <w:szCs w:val="24"/>
        </w:rPr>
        <w:t xml:space="preserve">Ambient </w:t>
      </w:r>
      <w:r>
        <w:rPr>
          <w:rFonts w:ascii="Calibri" w:hAnsi="Arial" w:cs="Arial"/>
          <w:kern w:val="0"/>
          <w:sz w:val="24"/>
          <w:szCs w:val="24"/>
        </w:rPr>
        <w:t xml:space="preserve">Operating temperature: </w:t>
      </w:r>
      <w:r>
        <w:rPr>
          <w:rFonts w:hint="eastAsia" w:ascii="Calibri" w:hAnsi="Arial" w:cs="Arial"/>
          <w:kern w:val="0"/>
          <w:sz w:val="24"/>
          <w:szCs w:val="24"/>
        </w:rPr>
        <w:t>0</w:t>
      </w:r>
      <w:r>
        <w:rPr>
          <w:rFonts w:ascii="Calibri" w:hAnsi="Arial" w:cs="Arial"/>
          <w:kern w:val="0"/>
          <w:sz w:val="24"/>
          <w:szCs w:val="24"/>
        </w:rPr>
        <w:t>°C to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4"/>
          <w:szCs w:val="24"/>
        </w:rPr>
        <w:t>+</w:t>
      </w:r>
      <w:r>
        <w:rPr>
          <w:rFonts w:hint="eastAsia" w:ascii="Calibri" w:hAnsi="Arial" w:cs="Arial"/>
          <w:kern w:val="0"/>
          <w:sz w:val="24"/>
          <w:szCs w:val="24"/>
        </w:rPr>
        <w:t>70</w:t>
      </w:r>
      <w:r>
        <w:rPr>
          <w:rFonts w:ascii="Calibri" w:hAnsi="Arial" w:cs="Arial"/>
          <w:kern w:val="0"/>
          <w:sz w:val="24"/>
          <w:szCs w:val="24"/>
        </w:rPr>
        <w:t>°C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</w:p>
    <w:p w14:paraId="5AC438F7">
      <w:pPr>
        <w:spacing w:after="360" w:afterLines="1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2.</w:t>
      </w:r>
      <w:r>
        <w:rPr>
          <w:rFonts w:ascii="Calibri" w:hAnsi="Arial" w:cs="Arial"/>
          <w:b/>
          <w:sz w:val="30"/>
          <w:szCs w:val="30"/>
        </w:rPr>
        <w:t>PRODUCT DESCRIPTION</w:t>
      </w:r>
    </w:p>
    <w:p w14:paraId="09DE9570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SFP-T-AUTO-SERDES Copper Small Form Pluggable (SFP) transceivers are based on the SFP Multi Source Agreement (MSA) . They are compatible with the Gigabit Ethernet and 1000BASE-T standards as specified in IEEE Std 802.3 . The SFP-T-AUTO-SERDES physical layer IC (PHY) can be accessed via I2C, allowing access to all PHY settings and features. </w:t>
      </w:r>
    </w:p>
    <w:p w14:paraId="52869F62">
      <w:pPr>
        <w:autoSpaceDE w:val="0"/>
        <w:autoSpaceDN w:val="0"/>
        <w:adjustRightInd w:val="0"/>
        <w:spacing w:line="360" w:lineRule="auto"/>
        <w:ind w:firstLine="480" w:firstLineChars="200"/>
        <w:jc w:val="left"/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>The SFP-T-AUTO-SERDES uses the SFP's RX_LOS pin for link indication. If pull up SFP's TX_DISABLE pin, PHY IC be reset.</w:t>
      </w:r>
    </w:p>
    <w:p w14:paraId="59D5A85A">
      <w:pPr>
        <w:spacing w:before="120" w:before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3.</w:t>
      </w:r>
      <w:r>
        <w:rPr>
          <w:rFonts w:ascii="Calibri" w:hAnsi="Arial" w:cs="Arial"/>
          <w:b/>
          <w:sz w:val="30"/>
          <w:szCs w:val="30"/>
        </w:rPr>
        <w:t xml:space="preserve"> Work Mode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1"/>
        <w:gridCol w:w="3905"/>
      </w:tblGrid>
      <w:tr w14:paraId="1BC4C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2795" w:type="pct"/>
            <w:shd w:val="clear" w:color="auto" w:fill="17365D"/>
            <w:noWrap w:val="0"/>
            <w:vAlign w:val="center"/>
          </w:tcPr>
          <w:p w14:paraId="712C417D">
            <w:pPr>
              <w:pStyle w:val="9"/>
              <w:jc w:val="center"/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  <w:t>Work Mode</w:t>
            </w:r>
          </w:p>
        </w:tc>
        <w:tc>
          <w:tcPr>
            <w:tcW w:w="2205" w:type="pct"/>
            <w:shd w:val="clear" w:color="auto" w:fill="17365D"/>
            <w:noWrap w:val="0"/>
            <w:vAlign w:val="center"/>
          </w:tcPr>
          <w:p w14:paraId="016B0E1E">
            <w:pPr>
              <w:pStyle w:val="9"/>
              <w:jc w:val="center"/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hint="eastAsia" w:ascii="Calibri" w:eastAsia="FMJNJK+Arial"/>
                <w:b/>
                <w:bCs/>
                <w:color w:val="FFFFFF"/>
                <w:sz w:val="20"/>
                <w:szCs w:val="20"/>
              </w:rPr>
              <w:t>Supp</w:t>
            </w:r>
            <w:r>
              <w:rPr>
                <w:rFonts w:ascii="Calibri" w:eastAsia="FMJNJK+Arial"/>
                <w:b/>
                <w:bCs/>
                <w:color w:val="FFFFFF"/>
                <w:sz w:val="20"/>
                <w:szCs w:val="20"/>
              </w:rPr>
              <w:t xml:space="preserve">ort </w:t>
            </w:r>
          </w:p>
        </w:tc>
      </w:tr>
      <w:tr w14:paraId="39C13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2795" w:type="pct"/>
            <w:shd w:val="clear" w:color="auto" w:fill="F1F1F1"/>
            <w:noWrap w:val="0"/>
            <w:vAlign w:val="center"/>
          </w:tcPr>
          <w:p w14:paraId="3F924F07">
            <w:pPr>
              <w:pStyle w:val="9"/>
              <w:jc w:val="center"/>
              <w:rPr>
                <w:rFonts w:ascii="Calibri" w:eastAsia="FMJNJK+Arial"/>
                <w:color w:val="auto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auto"/>
                <w:sz w:val="20"/>
                <w:szCs w:val="20"/>
              </w:rPr>
              <w:t>Serdes to 10/100/1000base-T</w:t>
            </w:r>
          </w:p>
        </w:tc>
        <w:tc>
          <w:tcPr>
            <w:tcW w:w="2205" w:type="pct"/>
            <w:shd w:val="clear" w:color="auto" w:fill="F1F1F1"/>
            <w:noWrap w:val="0"/>
            <w:vAlign w:val="top"/>
          </w:tcPr>
          <w:p w14:paraId="4ED8F75A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 xml:space="preserve">Yes </w:t>
            </w:r>
            <w:r>
              <w:rPr>
                <w:rFonts w:hint="eastAsia" w:ascii="Calibri"/>
                <w:color w:val="auto"/>
                <w:sz w:val="20"/>
                <w:szCs w:val="20"/>
              </w:rPr>
              <w:t>(default)</w:t>
            </w:r>
          </w:p>
        </w:tc>
      </w:tr>
      <w:tr w14:paraId="4CB1A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2795" w:type="pct"/>
            <w:shd w:val="clear" w:color="auto" w:fill="F1F1F1"/>
            <w:noWrap w:val="0"/>
            <w:vAlign w:val="center"/>
          </w:tcPr>
          <w:p w14:paraId="6CE0418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b/>
                <w:bCs/>
                <w:color w:val="auto"/>
                <w:sz w:val="20"/>
                <w:szCs w:val="20"/>
              </w:rPr>
              <w:t>SGMII to 10/100/1000base-Tx</w:t>
            </w:r>
          </w:p>
        </w:tc>
        <w:tc>
          <w:tcPr>
            <w:tcW w:w="2205" w:type="pct"/>
            <w:shd w:val="clear" w:color="auto" w:fill="F1F1F1"/>
            <w:noWrap w:val="0"/>
            <w:vAlign w:val="top"/>
          </w:tcPr>
          <w:p w14:paraId="78E3AE6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hint="eastAsia" w:ascii="Calibri"/>
                <w:color w:val="auto"/>
                <w:sz w:val="20"/>
                <w:szCs w:val="20"/>
              </w:rPr>
              <w:t>Yes</w:t>
            </w:r>
            <w:r>
              <w:rPr>
                <w:rFonts w:ascii="Calibri"/>
                <w:color w:val="auto"/>
                <w:sz w:val="20"/>
                <w:szCs w:val="20"/>
              </w:rPr>
              <w:t xml:space="preserve"> </w:t>
            </w:r>
            <w:r>
              <w:rPr>
                <w:rFonts w:hint="eastAsia" w:ascii="Calibri"/>
                <w:color w:val="auto"/>
                <w:sz w:val="20"/>
                <w:szCs w:val="20"/>
              </w:rPr>
              <w:t>(</w:t>
            </w:r>
            <w:r>
              <w:rPr>
                <w:rFonts w:ascii="Calibri"/>
                <w:color w:val="auto"/>
                <w:sz w:val="20"/>
                <w:szCs w:val="20"/>
              </w:rPr>
              <w:t xml:space="preserve">realization by configuring PHY IC via I2C, detail in </w:t>
            </w:r>
            <w:r>
              <w:rPr>
                <w:rFonts w:hint="eastAsia" w:ascii="Calibri"/>
                <w:color w:val="auto"/>
                <w:sz w:val="20"/>
                <w:szCs w:val="20"/>
              </w:rPr>
              <w:t>section</w:t>
            </w:r>
            <w:r>
              <w:rPr>
                <w:rFonts w:ascii="Calibri"/>
                <w:color w:val="auto"/>
                <w:sz w:val="20"/>
                <w:szCs w:val="20"/>
              </w:rPr>
              <w:t xml:space="preserve"> 10</w:t>
            </w:r>
            <w:r>
              <w:rPr>
                <w:rFonts w:hint="eastAsia" w:ascii="Calibri"/>
                <w:color w:val="auto"/>
                <w:sz w:val="20"/>
                <w:szCs w:val="20"/>
              </w:rPr>
              <w:t xml:space="preserve">) </w:t>
            </w:r>
          </w:p>
        </w:tc>
      </w:tr>
    </w:tbl>
    <w:p w14:paraId="24AAFC07">
      <w:pPr>
        <w:spacing w:before="120" w:beforeLines="50" w:after="120" w:afterLines="50"/>
        <w:rPr>
          <w:rFonts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4.</w:t>
      </w:r>
      <w:r>
        <w:rPr>
          <w:rFonts w:ascii="Calibri" w:hAnsi="Arial" w:cs="Arial"/>
          <w:b/>
          <w:sz w:val="30"/>
          <w:szCs w:val="30"/>
        </w:rPr>
        <w:t>SFP to Host Connector Pin Out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91"/>
        <w:gridCol w:w="5850"/>
        <w:gridCol w:w="723"/>
      </w:tblGrid>
      <w:tr w14:paraId="0594F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9" w:hRule="atLeast"/>
          <w:jc w:val="center"/>
        </w:trPr>
        <w:tc>
          <w:tcPr>
            <w:tcW w:w="391" w:type="pct"/>
            <w:shd w:val="clear" w:color="auto" w:fill="17365D"/>
            <w:noWrap w:val="0"/>
            <w:vAlign w:val="top"/>
          </w:tcPr>
          <w:p w14:paraId="00475962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Pin</w:t>
            </w:r>
          </w:p>
        </w:tc>
        <w:tc>
          <w:tcPr>
            <w:tcW w:w="898" w:type="pct"/>
            <w:shd w:val="clear" w:color="auto" w:fill="17365D"/>
            <w:noWrap w:val="0"/>
            <w:vAlign w:val="top"/>
          </w:tcPr>
          <w:p w14:paraId="069E447A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3302" w:type="pct"/>
            <w:shd w:val="clear" w:color="auto" w:fill="17365D"/>
            <w:noWrap w:val="0"/>
            <w:vAlign w:val="top"/>
          </w:tcPr>
          <w:p w14:paraId="15D2A6C6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Name/Description</w:t>
            </w:r>
          </w:p>
        </w:tc>
        <w:tc>
          <w:tcPr>
            <w:tcW w:w="408" w:type="pct"/>
            <w:shd w:val="clear" w:color="auto" w:fill="17365D"/>
            <w:noWrap w:val="0"/>
            <w:vAlign w:val="top"/>
          </w:tcPr>
          <w:p w14:paraId="370B9E33">
            <w:pPr>
              <w:spacing w:line="360" w:lineRule="auto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b/>
                <w:bCs/>
                <w:sz w:val="20"/>
                <w:szCs w:val="20"/>
              </w:rPr>
              <w:t>Ref.</w:t>
            </w:r>
          </w:p>
        </w:tc>
      </w:tr>
      <w:tr w14:paraId="74030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346061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88B426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C624086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01B17B1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1AD8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2F8733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3730599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TFAULT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7C0BA3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Fault. Not supported.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044EC1A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3651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5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BCA705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51C4CFE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TDIS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6D35F5D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Disable. Laser output disabled on high or open.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59A2A53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</w:t>
            </w:r>
          </w:p>
        </w:tc>
      </w:tr>
      <w:tr w14:paraId="4D5FB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2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7846252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2CABE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MOD_DEF(2)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6810C33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2. Data line for Serial ID.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8419615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B5B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4D3772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888C35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MOD_DEF(1)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2B58451E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1. Clock line for Serial ID.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AE3FA0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7FF6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D6DB1D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38BA889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MOD_DEF(0)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4442331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Module Definition 0. Grounded within the module.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9261C4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</w:t>
            </w:r>
          </w:p>
        </w:tc>
      </w:tr>
      <w:tr w14:paraId="430B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EB1A4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7A43BA9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Rate Select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27BC64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No connection required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36B1466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7E9A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61E522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20E9BE0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4E1F72E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Loss of Signal indication.  Logic 0 indicates normal operation.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5AC0BD6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69A07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B958AC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18693AA">
            <w:pPr>
              <w:autoSpaceDE w:val="0"/>
              <w:autoSpaceDN w:val="0"/>
              <w:adjustRightInd w:val="0"/>
              <w:spacing w:line="27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57860E9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713AAA82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3215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2A2F42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53E88C8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7426DC1B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AA1F83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81C0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49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1264DA9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11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2764700D">
            <w:pPr>
              <w:autoSpaceDE w:val="0"/>
              <w:autoSpaceDN w:val="0"/>
              <w:adjustRightInd w:val="0"/>
              <w:spacing w:line="240" w:lineRule="exact"/>
              <w:ind w:firstLine="393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VEER 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07DACE35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02F95C7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0715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2DE342E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12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7F3EA42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RD-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894501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Inverted DATA out.  AC Coupled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4D26A85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3A03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49353CA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13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9E89A0B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RD+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2F3CF99D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Non-inverted DATA out.  AC Coupled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1E033F99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20210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6192D2C1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14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349096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VEER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05057037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Ground  (Common with Transmitter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61C6FA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52E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0C267AA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15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66C8F15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VCCR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4EA356E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Receiver Power Supply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5A405FD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7C3F8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8BE51C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16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147ED574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VCCT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1F92F09A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Power Supply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30E67E2E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6FA3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53136B7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17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CFCD9D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6E659B5D">
            <w:pPr>
              <w:autoSpaceDE w:val="0"/>
              <w:autoSpaceDN w:val="0"/>
              <w:adjustRightInd w:val="0"/>
              <w:spacing w:line="240" w:lineRule="exact"/>
              <w:jc w:val="left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Transmitter Ground  (Common with Receiver Ground) 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2F0CA61A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37D65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15C25816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18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4F11B8A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TD+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65C30889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Non-Inverted DATA in. AC Coupled.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5FDD06B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439A0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7" w:hRule="atLeast"/>
          <w:jc w:val="center"/>
        </w:trPr>
        <w:tc>
          <w:tcPr>
            <w:tcW w:w="391" w:type="pct"/>
            <w:shd w:val="clear" w:color="auto" w:fill="F1F1F1"/>
            <w:noWrap w:val="0"/>
            <w:vAlign w:val="top"/>
          </w:tcPr>
          <w:p w14:paraId="3851019F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19</w:t>
            </w:r>
          </w:p>
        </w:tc>
        <w:tc>
          <w:tcPr>
            <w:tcW w:w="898" w:type="pct"/>
            <w:shd w:val="clear" w:color="auto" w:fill="F1F1F1"/>
            <w:noWrap w:val="0"/>
            <w:vAlign w:val="top"/>
          </w:tcPr>
          <w:p w14:paraId="1E6EC15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TD-</w:t>
            </w:r>
          </w:p>
        </w:tc>
        <w:tc>
          <w:tcPr>
            <w:tcW w:w="3302" w:type="pct"/>
            <w:shd w:val="clear" w:color="auto" w:fill="F1F1F1"/>
            <w:noWrap w:val="0"/>
            <w:vAlign w:val="top"/>
          </w:tcPr>
          <w:p w14:paraId="3199FD24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Inverted DATA in.  AC Coupled.</w:t>
            </w:r>
          </w:p>
        </w:tc>
        <w:tc>
          <w:tcPr>
            <w:tcW w:w="408" w:type="pct"/>
            <w:shd w:val="clear" w:color="auto" w:fill="F1F1F1"/>
            <w:noWrap w:val="0"/>
            <w:vAlign w:val="top"/>
          </w:tcPr>
          <w:p w14:paraId="467CA978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  <w:tr w14:paraId="16DE2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0" w:hRule="atLeast"/>
          <w:jc w:val="center"/>
        </w:trPr>
        <w:tc>
          <w:tcPr>
            <w:tcW w:w="391" w:type="pct"/>
            <w:shd w:val="clear" w:color="auto" w:fill="D7D7D7"/>
            <w:noWrap w:val="0"/>
            <w:vAlign w:val="top"/>
          </w:tcPr>
          <w:p w14:paraId="5339DBBD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20</w:t>
            </w:r>
          </w:p>
        </w:tc>
        <w:tc>
          <w:tcPr>
            <w:tcW w:w="898" w:type="pct"/>
            <w:shd w:val="clear" w:color="auto" w:fill="D7D7D7"/>
            <w:noWrap w:val="0"/>
            <w:vAlign w:val="top"/>
          </w:tcPr>
          <w:p w14:paraId="08C0953C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VEET</w:t>
            </w:r>
          </w:p>
        </w:tc>
        <w:tc>
          <w:tcPr>
            <w:tcW w:w="3302" w:type="pct"/>
            <w:shd w:val="clear" w:color="auto" w:fill="D7D7D7"/>
            <w:noWrap w:val="0"/>
            <w:vAlign w:val="top"/>
          </w:tcPr>
          <w:p w14:paraId="58CBEE41">
            <w:pPr>
              <w:spacing w:line="360" w:lineRule="auto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Transmitter Ground  (Common with Receiver Ground)</w:t>
            </w:r>
          </w:p>
        </w:tc>
        <w:tc>
          <w:tcPr>
            <w:tcW w:w="408" w:type="pct"/>
            <w:shd w:val="clear" w:color="auto" w:fill="D7D7D7"/>
            <w:noWrap w:val="0"/>
            <w:vAlign w:val="top"/>
          </w:tcPr>
          <w:p w14:paraId="18EC4C80">
            <w:pPr>
              <w:spacing w:line="360" w:lineRule="auto"/>
              <w:jc w:val="center"/>
              <w:rPr>
                <w:rFonts w:ascii="Calibri"/>
                <w:sz w:val="20"/>
                <w:szCs w:val="20"/>
              </w:rPr>
            </w:pPr>
          </w:p>
        </w:tc>
      </w:tr>
    </w:tbl>
    <w:p w14:paraId="4B6CBC02">
      <w:pPr>
        <w:spacing w:line="360" w:lineRule="auto"/>
        <w:rPr>
          <w:rFonts w:ascii="Calibri" w:hAnsi="Arial" w:cs="Arial"/>
          <w:sz w:val="20"/>
          <w:szCs w:val="20"/>
        </w:rPr>
      </w:pPr>
      <w:r>
        <w:rPr>
          <w:rFonts w:ascii="Calibri" w:hAnsi="Arial" w:cs="Arial"/>
          <w:sz w:val="20"/>
          <w:szCs w:val="20"/>
        </w:rPr>
        <w:t>Notes:</w:t>
      </w:r>
    </w:p>
    <w:p w14:paraId="5C8B5DF7">
      <w:pPr>
        <w:spacing w:line="360" w:lineRule="auto"/>
        <w:rPr>
          <w:rFonts w:hint="eastAsia"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1</w:t>
      </w:r>
      <w:r>
        <w:rPr>
          <w:rFonts w:ascii="Calibri" w:hAnsi="Arial" w:cs="Arial"/>
          <w:kern w:val="0"/>
          <w:sz w:val="20"/>
          <w:szCs w:val="20"/>
        </w:rPr>
        <w:t>. PHY disabled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 &gt; 2.0V or open, enabled on T</w:t>
      </w:r>
      <w:r>
        <w:rPr>
          <w:rFonts w:ascii="Calibri" w:hAnsi="Arial" w:cs="Arial"/>
          <w:kern w:val="0"/>
          <w:position w:val="-6"/>
          <w:sz w:val="20"/>
          <w:szCs w:val="20"/>
        </w:rPr>
        <w:t>DIS</w:t>
      </w:r>
      <w:r>
        <w:rPr>
          <w:rFonts w:ascii="Calibri" w:hAnsi="Arial" w:cs="Arial"/>
          <w:kern w:val="0"/>
          <w:sz w:val="20"/>
          <w:szCs w:val="20"/>
        </w:rPr>
        <w:t xml:space="preserve"> &lt; 0.8V </w:t>
      </w:r>
    </w:p>
    <w:p w14:paraId="2046783A">
      <w:pPr>
        <w:spacing w:line="360" w:lineRule="auto"/>
        <w:ind w:left="200" w:hanging="200" w:hangingChars="100"/>
        <w:rPr>
          <w:rFonts w:ascii="Calibri" w:hAnsi="Arial" w:cs="Arial"/>
          <w:kern w:val="0"/>
          <w:sz w:val="20"/>
          <w:szCs w:val="20"/>
        </w:rPr>
      </w:pPr>
      <w:r>
        <w:rPr>
          <w:rFonts w:hint="eastAsia" w:ascii="Calibri" w:hAnsi="Arial" w:cs="Arial"/>
          <w:kern w:val="0"/>
          <w:sz w:val="20"/>
          <w:szCs w:val="20"/>
        </w:rPr>
        <w:t>2</w:t>
      </w:r>
      <w:r>
        <w:rPr>
          <w:rFonts w:ascii="Calibri" w:hAnsi="Arial" w:cs="Arial"/>
          <w:kern w:val="0"/>
          <w:sz w:val="20"/>
          <w:szCs w:val="20"/>
        </w:rPr>
        <w:t xml:space="preserve">. Should be pulled up with 4.7k - 10k Ohms on host board to a voltage between 2.0 V and 3.6 V. MOD_DEF(0) pulls line low to indicate module is plugged in.  </w:t>
      </w:r>
    </w:p>
    <w:p w14:paraId="614F7E09">
      <w:pPr>
        <w:pStyle w:val="9"/>
        <w:jc w:val="center"/>
        <w:rPr>
          <w:rFonts w:ascii="Calibri" w:hAnsi="Arial" w:cs="Arial"/>
        </w:rPr>
      </w:pPr>
    </w:p>
    <w:p w14:paraId="58302458">
      <w:pPr>
        <w:spacing w:line="360" w:lineRule="auto"/>
        <w:jc w:val="center"/>
        <w:rPr>
          <w:rFonts w:hint="eastAsia" w:ascii="Calibri" w:hAnsi="Arial" w:cs="Arial"/>
          <w:kern w:val="0"/>
          <w:sz w:val="18"/>
          <w:szCs w:val="18"/>
        </w:rPr>
      </w:pPr>
      <w:r>
        <w:rPr>
          <w:rFonts w:ascii="Calibri" w:hAnsi="Arial" w:cs="Arial"/>
          <w:kern w:val="0"/>
          <w:sz w:val="18"/>
          <w:szCs w:val="18"/>
        </w:rPr>
        <w:drawing>
          <wp:inline distT="0" distB="0" distL="114300" distR="114300">
            <wp:extent cx="4131945" cy="3234055"/>
            <wp:effectExtent l="0" t="0" r="8255" b="4445"/>
            <wp:docPr id="1" name="图片 1" descr="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1945" cy="323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3AF6A">
      <w:pPr>
        <w:spacing w:line="360" w:lineRule="auto"/>
        <w:jc w:val="center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hint="eastAsia" w:ascii="Calibri" w:hAnsi="Arial" w:cs="Arial"/>
          <w:b/>
          <w:bCs/>
          <w:kern w:val="0"/>
          <w:sz w:val="22"/>
          <w:szCs w:val="22"/>
        </w:rPr>
        <w:t xml:space="preserve">Figure 1. </w:t>
      </w:r>
      <w:r>
        <w:rPr>
          <w:rFonts w:ascii="Calibri" w:hAnsi="Arial" w:cs="Arial"/>
          <w:b/>
          <w:bCs/>
          <w:kern w:val="0"/>
          <w:sz w:val="22"/>
          <w:szCs w:val="22"/>
        </w:rPr>
        <w:t>Diagram of host board connector block pin numbers and names</w:t>
      </w:r>
    </w:p>
    <w:p w14:paraId="686258BB">
      <w:pPr>
        <w:autoSpaceDE w:val="0"/>
        <w:autoSpaceDN w:val="0"/>
        <w:adjustRightInd w:val="0"/>
        <w:spacing w:before="120" w:beforeLines="50" w:after="120" w:afterLines="50"/>
        <w:jc w:val="left"/>
        <w:rPr>
          <w:rFonts w:hint="eastAsia" w:ascii="Calibri" w:hAnsi="Arial" w:cs="Arial"/>
          <w:b/>
          <w:bCs/>
          <w:kern w:val="0"/>
          <w:sz w:val="28"/>
          <w:szCs w:val="28"/>
        </w:rPr>
      </w:pPr>
      <w:r>
        <w:rPr>
          <w:rFonts w:hint="eastAsia" w:ascii="Calibri"/>
          <w:b/>
          <w:bCs/>
          <w:kern w:val="0"/>
          <w:sz w:val="28"/>
          <w:szCs w:val="28"/>
        </w:rPr>
        <w:t>5.</w:t>
      </w:r>
      <w:r>
        <w:rPr>
          <w:rFonts w:hint="eastAsia" w:ascii="Calibri" w:hAnsi="Arial" w:cs="Arial"/>
          <w:b/>
          <w:bCs/>
          <w:kern w:val="0"/>
          <w:sz w:val="28"/>
          <w:szCs w:val="28"/>
        </w:rPr>
        <w:t xml:space="preserve">  </w:t>
      </w:r>
      <w:r>
        <w:rPr>
          <w:rFonts w:ascii="Calibri" w:hAnsi="Arial" w:cs="Arial"/>
          <w:b/>
          <w:sz w:val="30"/>
          <w:szCs w:val="30"/>
        </w:rPr>
        <w:t xml:space="preserve">+3.3V Volt Electrical Power Interface </w:t>
      </w:r>
    </w:p>
    <w:p w14:paraId="6BF72344">
      <w:pPr>
        <w:autoSpaceDE w:val="0"/>
        <w:autoSpaceDN w:val="0"/>
        <w:adjustRightInd w:val="0"/>
        <w:spacing w:line="360" w:lineRule="auto"/>
        <w:ind w:firstLine="220" w:firstLineChars="100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The </w:t>
      </w:r>
      <w:r>
        <w:rPr>
          <w:rFonts w:ascii="Calibri" w:hAnsi="Arial" w:cs="Arial"/>
          <w:kern w:val="0"/>
          <w:sz w:val="24"/>
          <w:szCs w:val="24"/>
        </w:rPr>
        <w:t>SFP-T-AUTO-SERDES</w:t>
      </w:r>
      <w:r>
        <w:rPr>
          <w:rFonts w:hint="eastAsia" w:ascii="Calibri" w:hAnsi="Arial" w:cs="Arial"/>
          <w:kern w:val="0"/>
          <w:sz w:val="24"/>
          <w:szCs w:val="24"/>
        </w:rPr>
        <w:t xml:space="preserve"> </w:t>
      </w:r>
      <w:r>
        <w:rPr>
          <w:rFonts w:ascii="Calibri" w:hAnsi="Arial" w:cs="Arial"/>
          <w:kern w:val="0"/>
          <w:sz w:val="22"/>
          <w:szCs w:val="22"/>
        </w:rPr>
        <w:t xml:space="preserve"> has an input voltage range of 3.3 V +/- 5%. The 4V maximum voltage is not allowed for continuous operation.</w:t>
      </w:r>
    </w:p>
    <w:tbl>
      <w:tblPr>
        <w:tblStyle w:val="4"/>
        <w:tblpPr w:leftFromText="180" w:rightFromText="180" w:vertAnchor="text" w:horzAnchor="margin" w:tblpXSpec="center" w:tblpY="91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1031"/>
        <w:gridCol w:w="774"/>
        <w:gridCol w:w="824"/>
        <w:gridCol w:w="829"/>
        <w:gridCol w:w="882"/>
        <w:gridCol w:w="2685"/>
      </w:tblGrid>
      <w:tr w14:paraId="794E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5000" w:type="pct"/>
            <w:gridSpan w:val="7"/>
            <w:shd w:val="clear" w:color="auto" w:fill="17365D"/>
            <w:noWrap w:val="0"/>
            <w:vAlign w:val="center"/>
          </w:tcPr>
          <w:p w14:paraId="4F679FE5">
            <w:pPr>
              <w:pStyle w:val="9"/>
              <w:jc w:val="center"/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  <w:t>+3.3 Volt Electrical Power</w:t>
            </w:r>
          </w:p>
          <w:p w14:paraId="0BBB32FA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b/>
                <w:bCs/>
                <w:color w:val="auto"/>
                <w:sz w:val="18"/>
                <w:szCs w:val="18"/>
              </w:rPr>
              <w:t>Interface</w:t>
            </w:r>
          </w:p>
        </w:tc>
      </w:tr>
      <w:tr w14:paraId="6A06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1034" w:type="pct"/>
            <w:shd w:val="clear" w:color="auto" w:fill="F1F1F1"/>
            <w:noWrap w:val="0"/>
            <w:vAlign w:val="center"/>
          </w:tcPr>
          <w:p w14:paraId="5BBFCB11">
            <w:pPr>
              <w:autoSpaceDE w:val="0"/>
              <w:autoSpaceDN w:val="0"/>
              <w:adjustRightInd w:val="0"/>
              <w:ind w:firstLine="720" w:firstLineChars="400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73B32E6E">
            <w:pPr>
              <w:pStyle w:val="9"/>
              <w:jc w:val="center"/>
              <w:rPr>
                <w:rFonts w:ascii="Calibri"/>
                <w:bCs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5C081A3D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top"/>
          </w:tcPr>
          <w:p w14:paraId="19DFE8B7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0344AA1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50990FF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unit</w:t>
            </w:r>
          </w:p>
        </w:tc>
        <w:tc>
          <w:tcPr>
            <w:tcW w:w="1517" w:type="pct"/>
            <w:shd w:val="clear" w:color="auto" w:fill="F1F1F1"/>
            <w:noWrap w:val="0"/>
            <w:vAlign w:val="top"/>
          </w:tcPr>
          <w:p w14:paraId="452F6152">
            <w:pPr>
              <w:pStyle w:val="9"/>
              <w:jc w:val="center"/>
              <w:rPr>
                <w:rFonts w:ascii="Calibri"/>
                <w:bCs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Notes/Conditions</w:t>
            </w:r>
          </w:p>
        </w:tc>
      </w:tr>
      <w:tr w14:paraId="30940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7" w:hRule="atLeast"/>
        </w:trPr>
        <w:tc>
          <w:tcPr>
            <w:tcW w:w="1034" w:type="pct"/>
            <w:shd w:val="clear" w:color="auto" w:fill="D7D7D7"/>
            <w:noWrap w:val="0"/>
            <w:vAlign w:val="center"/>
          </w:tcPr>
          <w:p w14:paraId="667922C3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Supply Current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2BAEAFCC">
            <w:pPr>
              <w:pStyle w:val="9"/>
              <w:ind w:firstLine="360" w:firstLineChars="2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Is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0F0BED7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6339B50C">
            <w:pPr>
              <w:pStyle w:val="9"/>
              <w:ind w:firstLine="180" w:firstLineChars="100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color w:val="auto"/>
                <w:sz w:val="18"/>
                <w:szCs w:val="18"/>
              </w:rPr>
              <w:t>23</w:t>
            </w:r>
            <w:r>
              <w:rPr>
                <w:rFonts w:ascii="Calibri"/>
                <w:color w:val="auto"/>
                <w:sz w:val="18"/>
                <w:szCs w:val="18"/>
              </w:rPr>
              <w:t>0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2F645DBF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</w:t>
            </w:r>
            <w:r>
              <w:rPr>
                <w:rFonts w:hint="eastAsia" w:ascii="Calibri" w:eastAsia="FMJNJK+Arial"/>
                <w:sz w:val="18"/>
                <w:szCs w:val="18"/>
              </w:rPr>
              <w:t>0</w:t>
            </w:r>
            <w:r>
              <w:rPr>
                <w:rFonts w:ascii="Calibri" w:eastAsia="FMJNJK+Arial"/>
                <w:sz w:val="18"/>
                <w:szCs w:val="18"/>
              </w:rPr>
              <w:t>0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6707E0A0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</w:t>
            </w:r>
          </w:p>
        </w:tc>
        <w:tc>
          <w:tcPr>
            <w:tcW w:w="1517" w:type="pct"/>
            <w:shd w:val="clear" w:color="auto" w:fill="D7D7D7"/>
            <w:noWrap w:val="0"/>
            <w:vAlign w:val="top"/>
          </w:tcPr>
          <w:p w14:paraId="03B82D01">
            <w:pPr>
              <w:autoSpaceDE w:val="0"/>
              <w:autoSpaceDN w:val="0"/>
              <w:adjustRightInd w:val="0"/>
              <w:spacing w:line="229" w:lineRule="exact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</w:p>
        </w:tc>
      </w:tr>
      <w:tr w14:paraId="6619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3" w:hRule="atLeast"/>
        </w:trPr>
        <w:tc>
          <w:tcPr>
            <w:tcW w:w="1034" w:type="pct"/>
            <w:shd w:val="clear" w:color="auto" w:fill="F1F1F1"/>
            <w:noWrap w:val="0"/>
            <w:vAlign w:val="center"/>
          </w:tcPr>
          <w:p w14:paraId="22B07190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Input Voltage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102CF8C5">
            <w:pPr>
              <w:autoSpaceDE w:val="0"/>
              <w:autoSpaceDN w:val="0"/>
              <w:adjustRightInd w:val="0"/>
              <w:ind w:firstLine="225" w:firstLineChars="125"/>
              <w:jc w:val="center"/>
              <w:rPr>
                <w:rFonts w:hint="eastAsia"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Vcc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76707EE">
            <w:pPr>
              <w:pStyle w:val="9"/>
              <w:ind w:firstLine="90" w:firstLineChars="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3.13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0B25CE82">
            <w:pPr>
              <w:pStyle w:val="9"/>
              <w:ind w:firstLine="180" w:firstLineChars="100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3.3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629081FA">
            <w:pPr>
              <w:pStyle w:val="9"/>
              <w:ind w:firstLine="180" w:firstLineChars="10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3.47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6EA3B7DC">
            <w:pPr>
              <w:autoSpaceDE w:val="0"/>
              <w:autoSpaceDN w:val="0"/>
              <w:adjustRightInd w:val="0"/>
              <w:ind w:firstLine="255" w:firstLineChars="142"/>
              <w:jc w:val="center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V</w:t>
            </w:r>
          </w:p>
        </w:tc>
        <w:tc>
          <w:tcPr>
            <w:tcW w:w="1517" w:type="pct"/>
            <w:shd w:val="clear" w:color="auto" w:fill="F1F1F1"/>
            <w:noWrap w:val="0"/>
            <w:vAlign w:val="center"/>
          </w:tcPr>
          <w:p w14:paraId="063F731D">
            <w:pPr>
              <w:autoSpaceDE w:val="0"/>
              <w:autoSpaceDN w:val="0"/>
              <w:adjustRightInd w:val="0"/>
              <w:spacing w:line="246" w:lineRule="exact"/>
              <w:jc w:val="center"/>
              <w:rPr>
                <w:rFonts w:ascii="Calibri"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Referenced to GND</w:t>
            </w:r>
          </w:p>
        </w:tc>
      </w:tr>
      <w:tr w14:paraId="540CB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9" w:hRule="atLeast"/>
        </w:trPr>
        <w:tc>
          <w:tcPr>
            <w:tcW w:w="1034" w:type="pct"/>
            <w:shd w:val="clear" w:color="auto" w:fill="D7D7D7"/>
            <w:noWrap w:val="0"/>
            <w:vAlign w:val="center"/>
          </w:tcPr>
          <w:p w14:paraId="5E0EEAB6">
            <w:pPr>
              <w:pStyle w:val="9"/>
              <w:jc w:val="center"/>
              <w:rPr>
                <w:rFonts w:hint="eastAsia" w:ascii="Calibri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Maximum Voltage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69AC2E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Vmax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64F273A9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590C35AA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5024A0D2">
            <w:pPr>
              <w:pStyle w:val="9"/>
              <w:ind w:firstLine="270" w:firstLineChars="1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4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52B3AA92">
            <w:pPr>
              <w:pStyle w:val="9"/>
              <w:ind w:firstLine="270" w:firstLineChars="150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V</w:t>
            </w:r>
          </w:p>
        </w:tc>
        <w:tc>
          <w:tcPr>
            <w:tcW w:w="1517" w:type="pct"/>
            <w:shd w:val="clear" w:color="auto" w:fill="D7D7D7"/>
            <w:noWrap w:val="0"/>
            <w:vAlign w:val="top"/>
          </w:tcPr>
          <w:p w14:paraId="4305F234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</w:p>
        </w:tc>
      </w:tr>
    </w:tbl>
    <w:p w14:paraId="57C83BF1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6.</w:t>
      </w:r>
      <w:r>
        <w:rPr>
          <w:rFonts w:ascii="Calibri" w:hAnsi="Arial" w:cs="Arial"/>
          <w:b/>
          <w:sz w:val="30"/>
          <w:szCs w:val="30"/>
        </w:rPr>
        <w:t xml:space="preserve"> Low-Speed Signals </w:t>
      </w:r>
    </w:p>
    <w:p w14:paraId="495EB2F5">
      <w:pPr>
        <w:autoSpaceDE w:val="0"/>
        <w:autoSpaceDN w:val="0"/>
        <w:adjustRightInd w:val="0"/>
        <w:spacing w:line="251" w:lineRule="exact"/>
        <w:ind w:firstLine="200" w:firstLineChars="100"/>
        <w:jc w:val="left"/>
        <w:rPr>
          <w:rFonts w:hint="eastAsia" w:ascii="Calibri" w:hAnsi="Arial" w:cs="Arial"/>
          <w:b/>
          <w:bCs/>
          <w:kern w:val="0"/>
          <w:sz w:val="20"/>
          <w:szCs w:val="20"/>
        </w:rPr>
      </w:pPr>
      <w:r>
        <w:rPr>
          <w:rFonts w:ascii="Calibri" w:hAnsi="Arial" w:cs="Arial"/>
          <w:kern w:val="0"/>
          <w:sz w:val="20"/>
          <w:szCs w:val="20"/>
        </w:rPr>
        <w:t>MOD_DEF(1)  (SCL)  and  MOD_DEF(2)  (SDA),  are  open  drain  CMOS  signals  (see section V</w:t>
      </w:r>
      <w:r>
        <w:rPr>
          <w:rFonts w:ascii="Calibri"/>
          <w:kern w:val="0"/>
          <w:sz w:val="20"/>
          <w:szCs w:val="20"/>
        </w:rPr>
        <w:t>II</w:t>
      </w:r>
      <w:r>
        <w:rPr>
          <w:rFonts w:ascii="Calibri" w:hAnsi="Arial" w:cs="Arial"/>
          <w:kern w:val="0"/>
          <w:sz w:val="20"/>
          <w:szCs w:val="20"/>
        </w:rPr>
        <w:t>, "Serial Communication Protocol").   Both MOD_DEF(1) and MOD_DEF(2) must be pulled up to host_Vcc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031"/>
        <w:gridCol w:w="1158"/>
        <w:gridCol w:w="1033"/>
        <w:gridCol w:w="1125"/>
        <w:gridCol w:w="2804"/>
      </w:tblGrid>
      <w:tr w14:paraId="593B4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6"/>
            <w:shd w:val="clear" w:color="auto" w:fill="1F497D"/>
            <w:noWrap w:val="0"/>
            <w:vAlign w:val="center"/>
          </w:tcPr>
          <w:p w14:paraId="6D1FAAA1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Low-Speed Signals,  Electronic Characteristics</w:t>
            </w:r>
          </w:p>
        </w:tc>
      </w:tr>
      <w:tr w14:paraId="67E79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7AFFF599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65A429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57CD726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120462B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2B5A870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3FCE5F1C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7C120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63" w:type="pct"/>
            <w:shd w:val="clear" w:color="auto" w:fill="D7D7D7"/>
            <w:noWrap w:val="0"/>
            <w:vAlign w:val="center"/>
          </w:tcPr>
          <w:p w14:paraId="1EBFEE1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LOW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31BD712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VOL</w:t>
            </w:r>
          </w:p>
        </w:tc>
        <w:tc>
          <w:tcPr>
            <w:tcW w:w="654" w:type="pct"/>
            <w:shd w:val="clear" w:color="auto" w:fill="D7D7D7"/>
            <w:noWrap w:val="0"/>
            <w:vAlign w:val="center"/>
          </w:tcPr>
          <w:p w14:paraId="372F0C3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D7D7D7"/>
            <w:noWrap w:val="0"/>
            <w:vAlign w:val="center"/>
          </w:tcPr>
          <w:p w14:paraId="75AEF71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0.5</w:t>
            </w:r>
          </w:p>
        </w:tc>
        <w:tc>
          <w:tcPr>
            <w:tcW w:w="635" w:type="pct"/>
            <w:shd w:val="clear" w:color="auto" w:fill="D7D7D7"/>
            <w:noWrap w:val="0"/>
            <w:vAlign w:val="center"/>
          </w:tcPr>
          <w:p w14:paraId="6BB341BF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F93BE22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1583" w:type="pct"/>
            <w:shd w:val="clear" w:color="auto" w:fill="D7D7D7"/>
            <w:noWrap w:val="0"/>
            <w:vAlign w:val="top"/>
          </w:tcPr>
          <w:p w14:paraId="0B07F82F">
            <w:pPr>
              <w:pStyle w:val="9"/>
              <w:jc w:val="both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4.7k to 10k pull-up to host_Vcc,</w:t>
            </w:r>
          </w:p>
          <w:p w14:paraId="0FA4D2E0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measured at host side of connector</w:t>
            </w:r>
          </w:p>
        </w:tc>
      </w:tr>
      <w:tr w14:paraId="5539A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002686FC">
            <w:pPr>
              <w:autoSpaceDE w:val="0"/>
              <w:autoSpaceDN w:val="0"/>
              <w:adjustRightInd w:val="0"/>
              <w:spacing w:line="262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SFP Output HIGH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7771F44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VOH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37D65D62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-0.5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4317464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host_Vcc + 0.3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7ACCC673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  <w:p w14:paraId="79948286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10F5A9FD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4.7k to 10k pull-up to host_Vcc,</w:t>
            </w:r>
          </w:p>
          <w:p w14:paraId="5F5D2B50">
            <w:pPr>
              <w:autoSpaceDE w:val="0"/>
              <w:autoSpaceDN w:val="0"/>
              <w:adjustRightInd w:val="0"/>
              <w:spacing w:line="246" w:lineRule="exact"/>
              <w:rPr>
                <w:rFonts w:ascii="Calibri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measured at host side of connector</w:t>
            </w:r>
          </w:p>
        </w:tc>
      </w:tr>
      <w:tr w14:paraId="5704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963" w:type="pct"/>
            <w:shd w:val="clear" w:color="auto" w:fill="D7D7D7"/>
            <w:noWrap w:val="0"/>
            <w:vAlign w:val="center"/>
          </w:tcPr>
          <w:p w14:paraId="0726AEDF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LOW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3E398BC0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VIL</w:t>
            </w:r>
          </w:p>
        </w:tc>
        <w:tc>
          <w:tcPr>
            <w:tcW w:w="654" w:type="pct"/>
            <w:shd w:val="clear" w:color="auto" w:fill="D7D7D7"/>
            <w:noWrap w:val="0"/>
            <w:vAlign w:val="center"/>
          </w:tcPr>
          <w:p w14:paraId="7AC23A9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0</w:t>
            </w:r>
          </w:p>
        </w:tc>
        <w:tc>
          <w:tcPr>
            <w:tcW w:w="583" w:type="pct"/>
            <w:shd w:val="clear" w:color="auto" w:fill="D7D7D7"/>
            <w:noWrap w:val="0"/>
            <w:vAlign w:val="center"/>
          </w:tcPr>
          <w:p w14:paraId="71A3B8D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0.8</w:t>
            </w:r>
          </w:p>
        </w:tc>
        <w:tc>
          <w:tcPr>
            <w:tcW w:w="635" w:type="pct"/>
            <w:shd w:val="clear" w:color="auto" w:fill="D7D7D7"/>
            <w:noWrap w:val="0"/>
            <w:vAlign w:val="center"/>
          </w:tcPr>
          <w:p w14:paraId="57C5810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</w:t>
            </w:r>
          </w:p>
        </w:tc>
        <w:tc>
          <w:tcPr>
            <w:tcW w:w="1583" w:type="pct"/>
            <w:shd w:val="clear" w:color="auto" w:fill="D7D7D7"/>
            <w:noWrap w:val="0"/>
            <w:vAlign w:val="top"/>
          </w:tcPr>
          <w:p w14:paraId="36C52E04">
            <w:pPr>
              <w:autoSpaceDE w:val="0"/>
              <w:autoSpaceDN w:val="0"/>
              <w:adjustRightInd w:val="0"/>
              <w:spacing w:line="244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05C44E82">
            <w:pPr>
              <w:autoSpaceDE w:val="0"/>
              <w:autoSpaceDN w:val="0"/>
              <w:adjustRightInd w:val="0"/>
              <w:spacing w:line="230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measured at SFP side of connector </w:t>
            </w:r>
          </w:p>
        </w:tc>
      </w:tr>
      <w:tr w14:paraId="038F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963" w:type="pct"/>
            <w:shd w:val="clear" w:color="auto" w:fill="F1F1F1"/>
            <w:noWrap w:val="0"/>
            <w:vAlign w:val="center"/>
          </w:tcPr>
          <w:p w14:paraId="344F791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SFP Input HIGH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3FA2643F">
            <w:pPr>
              <w:autoSpaceDE w:val="0"/>
              <w:autoSpaceDN w:val="0"/>
              <w:adjustRightInd w:val="0"/>
              <w:spacing w:line="276" w:lineRule="exact"/>
              <w:ind w:firstLine="413" w:firstLineChars="207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VIH</w:t>
            </w:r>
          </w:p>
        </w:tc>
        <w:tc>
          <w:tcPr>
            <w:tcW w:w="654" w:type="pct"/>
            <w:shd w:val="clear" w:color="auto" w:fill="F1F1F1"/>
            <w:noWrap w:val="0"/>
            <w:vAlign w:val="center"/>
          </w:tcPr>
          <w:p w14:paraId="6D98AE58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2</w:t>
            </w:r>
          </w:p>
        </w:tc>
        <w:tc>
          <w:tcPr>
            <w:tcW w:w="583" w:type="pct"/>
            <w:shd w:val="clear" w:color="auto" w:fill="F1F1F1"/>
            <w:noWrap w:val="0"/>
            <w:vAlign w:val="center"/>
          </w:tcPr>
          <w:p w14:paraId="3E7C0436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Vcc + 0.3</w:t>
            </w:r>
          </w:p>
        </w:tc>
        <w:tc>
          <w:tcPr>
            <w:tcW w:w="635" w:type="pct"/>
            <w:shd w:val="clear" w:color="auto" w:fill="F1F1F1"/>
            <w:noWrap w:val="0"/>
            <w:vAlign w:val="center"/>
          </w:tcPr>
          <w:p w14:paraId="18C4A33F">
            <w:pPr>
              <w:autoSpaceDE w:val="0"/>
              <w:autoSpaceDN w:val="0"/>
              <w:adjustRightInd w:val="0"/>
              <w:ind w:firstLine="76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</w:t>
            </w:r>
          </w:p>
        </w:tc>
        <w:tc>
          <w:tcPr>
            <w:tcW w:w="1583" w:type="pct"/>
            <w:shd w:val="clear" w:color="auto" w:fill="F1F1F1"/>
            <w:noWrap w:val="0"/>
            <w:vAlign w:val="top"/>
          </w:tcPr>
          <w:p w14:paraId="12166F21">
            <w:pPr>
              <w:autoSpaceDE w:val="0"/>
              <w:autoSpaceDN w:val="0"/>
              <w:adjustRightInd w:val="0"/>
              <w:spacing w:line="321" w:lineRule="exact"/>
              <w:jc w:val="lef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4.7k to 10k pull-up to Vcc, </w:t>
            </w:r>
          </w:p>
          <w:p w14:paraId="57CDA42B">
            <w:pPr>
              <w:pStyle w:val="9"/>
              <w:jc w:val="both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measured at SFP side of connector</w:t>
            </w:r>
          </w:p>
        </w:tc>
      </w:tr>
    </w:tbl>
    <w:p w14:paraId="3D1E6162">
      <w:pPr>
        <w:autoSpaceDE w:val="0"/>
        <w:autoSpaceDN w:val="0"/>
        <w:adjustRightInd w:val="0"/>
        <w:spacing w:before="120" w:beforeLines="50" w:after="120" w:afterLines="50"/>
        <w:jc w:val="left"/>
        <w:rPr>
          <w:rFonts w:ascii="Calibri" w:hAnsi="Arial" w:cs="Arial"/>
          <w:b/>
          <w:sz w:val="30"/>
          <w:szCs w:val="30"/>
        </w:rPr>
      </w:pPr>
      <w:r>
        <w:rPr>
          <w:rFonts w:ascii="Calibri" w:hAnsi="Arial" w:cs="Arial"/>
          <w:b/>
          <w:sz w:val="30"/>
          <w:szCs w:val="30"/>
        </w:rPr>
        <w:t xml:space="preserve"> </w:t>
      </w:r>
      <w:r>
        <w:rPr>
          <w:rFonts w:hint="eastAsia" w:ascii="Calibri" w:hAnsi="Arial" w:cs="Arial"/>
          <w:b/>
          <w:sz w:val="30"/>
          <w:szCs w:val="30"/>
        </w:rPr>
        <w:t>7.</w:t>
      </w:r>
      <w:r>
        <w:rPr>
          <w:rFonts w:ascii="Calibri" w:hAnsi="Arial" w:cs="Arial"/>
          <w:b/>
          <w:sz w:val="30"/>
          <w:szCs w:val="30"/>
        </w:rPr>
        <w:t>High-Speed Electrical Interface</w:t>
      </w:r>
    </w:p>
    <w:p w14:paraId="2C80CBA5">
      <w:pPr>
        <w:rPr>
          <w:rFonts w:hint="eastAsia" w:ascii="Calibri" w:hAnsi="Arial" w:cs="Arial"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All high-speed signals are AC-coupled internally.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0E93D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0421C084">
            <w:pPr>
              <w:pStyle w:val="9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 xml:space="preserve">High-Speed Electrical Interface,  </w:t>
            </w:r>
            <w:r>
              <w:rPr>
                <w:rFonts w:ascii="Calibri"/>
                <w:b/>
                <w:color w:val="FFFFFF"/>
                <w:sz w:val="20"/>
                <w:szCs w:val="20"/>
              </w:rPr>
              <w:t>Transmission Line-SFP</w:t>
            </w:r>
          </w:p>
        </w:tc>
      </w:tr>
      <w:tr w14:paraId="09661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20BBBE33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A49299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746C2F4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top"/>
          </w:tcPr>
          <w:p w14:paraId="72605609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29CE18A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625759F9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259" w:type="pct"/>
            <w:shd w:val="clear" w:color="auto" w:fill="F1F1F1"/>
            <w:noWrap w:val="0"/>
            <w:vAlign w:val="top"/>
          </w:tcPr>
          <w:p w14:paraId="37CBBFAA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56575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5E821765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Line Frequency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17E63E1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fL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2324F46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221A7FF7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125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7295876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36A1B5C2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MHz</w:t>
            </w:r>
          </w:p>
        </w:tc>
        <w:tc>
          <w:tcPr>
            <w:tcW w:w="1259" w:type="pct"/>
            <w:shd w:val="clear" w:color="auto" w:fill="D7D7D7"/>
            <w:noWrap w:val="0"/>
            <w:vAlign w:val="top"/>
          </w:tcPr>
          <w:p w14:paraId="5BD59EE8">
            <w:pPr>
              <w:autoSpaceDE w:val="0"/>
              <w:autoSpaceDN w:val="0"/>
              <w:adjustRightInd w:val="0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5-level encoding, per </w:t>
            </w:r>
          </w:p>
          <w:p w14:paraId="606FE1F5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</w:t>
            </w:r>
          </w:p>
        </w:tc>
      </w:tr>
      <w:tr w14:paraId="50456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30441E52">
            <w:pPr>
              <w:autoSpaceDE w:val="0"/>
              <w:autoSpaceDN w:val="0"/>
              <w:adjustRightInd w:val="0"/>
              <w:jc w:val="center"/>
              <w:rPr>
                <w:rFonts w:hint="eastAsia"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Output Impedance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5AC2F2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Zout,TX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4F16F89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7AB91A3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754ABE2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368EF293">
            <w:pPr>
              <w:autoSpaceDE w:val="0"/>
              <w:autoSpaceDN w:val="0"/>
              <w:adjustRightInd w:val="0"/>
              <w:ind w:firstLine="76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Ohm</w:t>
            </w:r>
          </w:p>
        </w:tc>
        <w:tc>
          <w:tcPr>
            <w:tcW w:w="1259" w:type="pct"/>
            <w:shd w:val="clear" w:color="auto" w:fill="F1F1F1"/>
            <w:noWrap w:val="0"/>
            <w:vAlign w:val="top"/>
          </w:tcPr>
          <w:p w14:paraId="7B429F0F">
            <w:pPr>
              <w:autoSpaceDE w:val="0"/>
              <w:autoSpaceDN w:val="0"/>
              <w:adjustRightInd w:val="0"/>
              <w:spacing w:line="244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Differential, for all </w:t>
            </w:r>
          </w:p>
          <w:p w14:paraId="5F0A74B6">
            <w:pPr>
              <w:autoSpaceDE w:val="0"/>
              <w:autoSpaceDN w:val="0"/>
              <w:adjustRightInd w:val="0"/>
              <w:spacing w:line="230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frequencies between </w:t>
            </w:r>
          </w:p>
          <w:p w14:paraId="5D88AAD5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1MHz and 125MHz</w:t>
            </w:r>
            <w:r>
              <w:rPr>
                <w:rFonts w:ascii="Calibri"/>
                <w:color w:val="auto"/>
                <w:sz w:val="20"/>
                <w:szCs w:val="20"/>
              </w:rPr>
              <w:t xml:space="preserve"> </w:t>
            </w:r>
          </w:p>
        </w:tc>
      </w:tr>
      <w:tr w14:paraId="5ECE0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64839FEC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Rx Input Impedance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A72245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Zin,RX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739C1A15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61137FC1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100</w:t>
            </w: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2D8069E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29C6BE27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1259" w:type="pct"/>
            <w:shd w:val="clear" w:color="auto" w:fill="D7D7D7"/>
            <w:noWrap w:val="0"/>
            <w:vAlign w:val="top"/>
          </w:tcPr>
          <w:p w14:paraId="6DC5BD80">
            <w:pPr>
              <w:autoSpaceDE w:val="0"/>
              <w:autoSpaceDN w:val="0"/>
              <w:adjustRightInd w:val="0"/>
              <w:spacing w:line="296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Differential, for all </w:t>
            </w:r>
          </w:p>
          <w:p w14:paraId="363F55E2">
            <w:pPr>
              <w:autoSpaceDE w:val="0"/>
              <w:autoSpaceDN w:val="0"/>
              <w:adjustRightInd w:val="0"/>
              <w:spacing w:line="230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frequencies between </w:t>
            </w:r>
          </w:p>
          <w:p w14:paraId="5E18A7DA">
            <w:pPr>
              <w:autoSpaceDE w:val="0"/>
              <w:autoSpaceDN w:val="0"/>
              <w:adjustRightInd w:val="0"/>
              <w:spacing w:line="229" w:lineRule="exact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 xml:space="preserve">1MHz and 125MHz </w:t>
            </w:r>
          </w:p>
        </w:tc>
      </w:tr>
    </w:tbl>
    <w:p w14:paraId="3B9326F5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bCs/>
          <w:kern w:val="0"/>
          <w:sz w:val="22"/>
          <w:szCs w:val="22"/>
        </w:rPr>
      </w:pP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6"/>
        <w:gridCol w:w="1010"/>
        <w:gridCol w:w="691"/>
        <w:gridCol w:w="896"/>
        <w:gridCol w:w="767"/>
        <w:gridCol w:w="896"/>
        <w:gridCol w:w="1670"/>
      </w:tblGrid>
      <w:tr w14:paraId="1CCBE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5E943175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High-Speed Electrical Interface,  Host-SFP</w:t>
            </w:r>
          </w:p>
        </w:tc>
      </w:tr>
      <w:tr w14:paraId="2942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115025A8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6F9019DE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Symbol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77535E8F">
            <w:pPr>
              <w:pStyle w:val="9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Min</w:t>
            </w:r>
          </w:p>
        </w:tc>
        <w:tc>
          <w:tcPr>
            <w:tcW w:w="506" w:type="pct"/>
            <w:shd w:val="clear" w:color="auto" w:fill="F1F1F1"/>
            <w:noWrap w:val="0"/>
            <w:vAlign w:val="top"/>
          </w:tcPr>
          <w:p w14:paraId="00784208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color w:val="auto"/>
                <w:sz w:val="20"/>
                <w:szCs w:val="20"/>
              </w:rPr>
              <w:t>Typ</w:t>
            </w: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30C129EE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Max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603CAFB2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 w:hAnsi="Arial" w:eastAsia="FMJNJK+Arial" w:cs="Arial"/>
                <w:sz w:val="20"/>
                <w:szCs w:val="20"/>
              </w:rPr>
              <w:t>unit</w:t>
            </w:r>
          </w:p>
        </w:tc>
        <w:tc>
          <w:tcPr>
            <w:tcW w:w="942" w:type="pct"/>
            <w:shd w:val="clear" w:color="auto" w:fill="F1F1F1"/>
            <w:noWrap w:val="0"/>
            <w:vAlign w:val="top"/>
          </w:tcPr>
          <w:p w14:paraId="00F4E972">
            <w:pPr>
              <w:pStyle w:val="9"/>
              <w:jc w:val="both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 w:hAnsi="Arial" w:cs="Arial"/>
                <w:bCs/>
                <w:sz w:val="20"/>
                <w:szCs w:val="20"/>
              </w:rPr>
              <w:t>Notes/Conditions</w:t>
            </w:r>
          </w:p>
        </w:tc>
      </w:tr>
      <w:tr w14:paraId="21EB7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9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787B7116">
            <w:pPr>
              <w:autoSpaceDE w:val="0"/>
              <w:autoSpaceDN w:val="0"/>
              <w:adjustRightInd w:val="0"/>
              <w:spacing w:line="259" w:lineRule="exact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 data input</w:t>
            </w:r>
            <w:r>
              <w:rPr>
                <w:rFonts w:hint="eastAsia" w:ascii="Calibr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731CDF14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Vinsing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61664114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250</w:t>
            </w: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30C391B8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11852AB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1200</w:t>
            </w: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45A554EB">
            <w:pPr>
              <w:autoSpaceDE w:val="0"/>
              <w:autoSpaceDN w:val="0"/>
              <w:adjustRightInd w:val="0"/>
              <w:spacing w:line="259" w:lineRule="exact"/>
              <w:ind w:firstLine="7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mV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3EDA0DD8">
            <w:pPr>
              <w:pStyle w:val="9"/>
              <w:jc w:val="center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5D1C8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9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1E3F0D53">
            <w:pPr>
              <w:autoSpaceDE w:val="0"/>
              <w:autoSpaceDN w:val="0"/>
              <w:adjustRightInd w:val="0"/>
              <w:spacing w:line="244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 data output</w:t>
            </w:r>
            <w:r>
              <w:rPr>
                <w:rFonts w:hint="eastAsia" w:ascii="Calibri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swing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53246B53">
            <w:pPr>
              <w:autoSpaceDE w:val="0"/>
              <w:autoSpaceDN w:val="0"/>
              <w:adjustRightInd w:val="0"/>
              <w:spacing w:line="237" w:lineRule="exact"/>
              <w:ind w:firstLine="60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Voutsing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51C5288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350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0143A60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47803858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800</w:t>
            </w: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513FA520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mV</w:t>
            </w:r>
          </w:p>
        </w:tc>
        <w:tc>
          <w:tcPr>
            <w:tcW w:w="942" w:type="pct"/>
            <w:shd w:val="clear" w:color="auto" w:fill="F1F1F1"/>
            <w:noWrap w:val="0"/>
            <w:vAlign w:val="center"/>
          </w:tcPr>
          <w:p w14:paraId="66564DAA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6AFF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3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23D71B5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Rise/Fall Time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6BFC7874">
            <w:pPr>
              <w:pStyle w:val="7"/>
              <w:jc w:val="center"/>
              <w:rPr>
                <w:rFonts w:ascii="Calibri"/>
                <w:b/>
                <w:bCs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r</w:t>
            </w:r>
            <w:r>
              <w:rPr>
                <w:rFonts w:hint="eastAsia" w:ascii="Calibri"/>
                <w:sz w:val="20"/>
                <w:szCs w:val="20"/>
              </w:rPr>
              <w:t>,</w:t>
            </w:r>
            <w:r>
              <w:rPr>
                <w:rFonts w:ascii="Calibri"/>
                <w:sz w:val="20"/>
                <w:szCs w:val="20"/>
              </w:rPr>
              <w:t>T</w:t>
            </w:r>
            <w:r>
              <w:rPr>
                <w:rFonts w:ascii="Calibri"/>
                <w:position w:val="-6"/>
                <w:sz w:val="20"/>
                <w:szCs w:val="20"/>
              </w:rPr>
              <w:t>f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2AD7EADC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785865B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175</w:t>
            </w: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0056ACF5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4D0F5091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psec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558E9D3E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20%-80%</w:t>
            </w:r>
          </w:p>
        </w:tc>
      </w:tr>
      <w:tr w14:paraId="12EE0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65" w:hRule="atLeast"/>
          <w:jc w:val="center"/>
        </w:trPr>
        <w:tc>
          <w:tcPr>
            <w:tcW w:w="1652" w:type="pct"/>
            <w:shd w:val="clear" w:color="auto" w:fill="F1F1F1"/>
            <w:noWrap w:val="0"/>
            <w:vAlign w:val="center"/>
          </w:tcPr>
          <w:p w14:paraId="596E97F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Tx Input Impedance</w:t>
            </w:r>
          </w:p>
        </w:tc>
        <w:tc>
          <w:tcPr>
            <w:tcW w:w="570" w:type="pct"/>
            <w:shd w:val="clear" w:color="auto" w:fill="F1F1F1"/>
            <w:noWrap w:val="0"/>
            <w:vAlign w:val="center"/>
          </w:tcPr>
          <w:p w14:paraId="01135154">
            <w:pPr>
              <w:autoSpaceDE w:val="0"/>
              <w:autoSpaceDN w:val="0"/>
              <w:adjustRightInd w:val="0"/>
              <w:spacing w:line="261" w:lineRule="exact"/>
              <w:ind w:firstLine="434" w:firstLineChars="217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Zin</w:t>
            </w:r>
          </w:p>
        </w:tc>
        <w:tc>
          <w:tcPr>
            <w:tcW w:w="390" w:type="pct"/>
            <w:shd w:val="clear" w:color="auto" w:fill="F1F1F1"/>
            <w:noWrap w:val="0"/>
            <w:vAlign w:val="center"/>
          </w:tcPr>
          <w:p w14:paraId="6474AC12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5D552D99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33" w:type="pct"/>
            <w:shd w:val="clear" w:color="auto" w:fill="F1F1F1"/>
            <w:noWrap w:val="0"/>
            <w:vAlign w:val="center"/>
          </w:tcPr>
          <w:p w14:paraId="0A9DB24A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F1F1F1"/>
            <w:noWrap w:val="0"/>
            <w:vAlign w:val="center"/>
          </w:tcPr>
          <w:p w14:paraId="28785E26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942" w:type="pct"/>
            <w:shd w:val="clear" w:color="auto" w:fill="F1F1F1"/>
            <w:noWrap w:val="0"/>
            <w:vAlign w:val="center"/>
          </w:tcPr>
          <w:p w14:paraId="2D656A43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Single ended</w:t>
            </w:r>
          </w:p>
        </w:tc>
      </w:tr>
      <w:tr w14:paraId="7A182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652" w:type="pct"/>
            <w:shd w:val="clear" w:color="auto" w:fill="D7D7D7"/>
            <w:noWrap w:val="0"/>
            <w:vAlign w:val="center"/>
          </w:tcPr>
          <w:p w14:paraId="155F557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Rx Output Impedance</w:t>
            </w:r>
          </w:p>
        </w:tc>
        <w:tc>
          <w:tcPr>
            <w:tcW w:w="570" w:type="pct"/>
            <w:shd w:val="clear" w:color="auto" w:fill="D7D7D7"/>
            <w:noWrap w:val="0"/>
            <w:vAlign w:val="center"/>
          </w:tcPr>
          <w:p w14:paraId="736E06A8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="Calibri"/>
                <w:kern w:val="0"/>
                <w:sz w:val="20"/>
                <w:szCs w:val="20"/>
              </w:rPr>
              <w:t>Zout</w:t>
            </w:r>
          </w:p>
        </w:tc>
        <w:tc>
          <w:tcPr>
            <w:tcW w:w="390" w:type="pct"/>
            <w:shd w:val="clear" w:color="auto" w:fill="D7D7D7"/>
            <w:noWrap w:val="0"/>
            <w:vAlign w:val="center"/>
          </w:tcPr>
          <w:p w14:paraId="052145B7">
            <w:pPr>
              <w:pStyle w:val="9"/>
              <w:jc w:val="center"/>
              <w:rPr>
                <w:rFonts w:ascii="Calibri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7AE24E16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50</w:t>
            </w:r>
          </w:p>
        </w:tc>
        <w:tc>
          <w:tcPr>
            <w:tcW w:w="433" w:type="pct"/>
            <w:shd w:val="clear" w:color="auto" w:fill="D7D7D7"/>
            <w:noWrap w:val="0"/>
            <w:vAlign w:val="center"/>
          </w:tcPr>
          <w:p w14:paraId="4860DCB2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</w:p>
        </w:tc>
        <w:tc>
          <w:tcPr>
            <w:tcW w:w="506" w:type="pct"/>
            <w:shd w:val="clear" w:color="auto" w:fill="D7D7D7"/>
            <w:noWrap w:val="0"/>
            <w:vAlign w:val="center"/>
          </w:tcPr>
          <w:p w14:paraId="366C5C4A">
            <w:pPr>
              <w:pStyle w:val="9"/>
              <w:jc w:val="center"/>
              <w:rPr>
                <w:rFonts w:ascii="Calibri" w:hAnsi="Arial" w:eastAsia="FMJNJK+Arial" w:cs="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Ohm</w:t>
            </w:r>
          </w:p>
        </w:tc>
        <w:tc>
          <w:tcPr>
            <w:tcW w:w="942" w:type="pct"/>
            <w:shd w:val="clear" w:color="auto" w:fill="D7D7D7"/>
            <w:noWrap w:val="0"/>
            <w:vAlign w:val="center"/>
          </w:tcPr>
          <w:p w14:paraId="0A64811E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Single ended</w:t>
            </w:r>
          </w:p>
        </w:tc>
      </w:tr>
    </w:tbl>
    <w:p w14:paraId="2EEBC4AE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8.</w:t>
      </w:r>
      <w:r>
        <w:rPr>
          <w:rFonts w:ascii="Calibri" w:hAnsi="Arial" w:cs="Arial"/>
          <w:b/>
          <w:sz w:val="30"/>
          <w:szCs w:val="30"/>
        </w:rPr>
        <w:t xml:space="preserve">General Specifications 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994"/>
        <w:gridCol w:w="708"/>
        <w:gridCol w:w="710"/>
        <w:gridCol w:w="850"/>
        <w:gridCol w:w="1135"/>
        <w:gridCol w:w="2652"/>
      </w:tblGrid>
      <w:tr w14:paraId="29CC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015579FA">
            <w:pPr>
              <w:pStyle w:val="9"/>
              <w:jc w:val="center"/>
              <w:rPr>
                <w:rFonts w:ascii="Calibri" w:hAnsi="Arial" w:cs="Arial"/>
                <w:b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General</w:t>
            </w:r>
          </w:p>
        </w:tc>
      </w:tr>
      <w:tr w14:paraId="6C480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020" w:type="pct"/>
            <w:shd w:val="clear" w:color="auto" w:fill="F1F1F1"/>
            <w:noWrap w:val="0"/>
            <w:vAlign w:val="center"/>
          </w:tcPr>
          <w:p w14:paraId="32AD6ABE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304716C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00" w:type="pct"/>
            <w:shd w:val="clear" w:color="auto" w:fill="F1F1F1"/>
            <w:noWrap w:val="0"/>
            <w:vAlign w:val="center"/>
          </w:tcPr>
          <w:p w14:paraId="2863105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01" w:type="pct"/>
            <w:shd w:val="clear" w:color="auto" w:fill="F1F1F1"/>
            <w:noWrap w:val="0"/>
            <w:vAlign w:val="center"/>
          </w:tcPr>
          <w:p w14:paraId="5D630FA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15FFD993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641" w:type="pct"/>
            <w:shd w:val="clear" w:color="auto" w:fill="F1F1F1"/>
            <w:noWrap w:val="0"/>
            <w:vAlign w:val="center"/>
          </w:tcPr>
          <w:p w14:paraId="4B83B01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497" w:type="pct"/>
            <w:shd w:val="clear" w:color="auto" w:fill="F1F1F1"/>
            <w:noWrap w:val="0"/>
            <w:vAlign w:val="top"/>
          </w:tcPr>
          <w:p w14:paraId="700FC81D">
            <w:pPr>
              <w:pStyle w:val="9"/>
              <w:jc w:val="both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042D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93" w:hRule="atLeast"/>
          <w:jc w:val="center"/>
        </w:trPr>
        <w:tc>
          <w:tcPr>
            <w:tcW w:w="1020" w:type="pct"/>
            <w:shd w:val="clear" w:color="auto" w:fill="D7D7D7"/>
            <w:noWrap w:val="0"/>
            <w:vAlign w:val="center"/>
          </w:tcPr>
          <w:p w14:paraId="07EC87A7">
            <w:pPr>
              <w:autoSpaceDE w:val="0"/>
              <w:autoSpaceDN w:val="0"/>
              <w:adjustRightInd w:val="0"/>
              <w:spacing w:line="230" w:lineRule="exact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Data Rate</w:t>
            </w:r>
          </w:p>
        </w:tc>
        <w:tc>
          <w:tcPr>
            <w:tcW w:w="561" w:type="pct"/>
            <w:shd w:val="clear" w:color="auto" w:fill="D7D7D7"/>
            <w:noWrap w:val="0"/>
            <w:vAlign w:val="center"/>
          </w:tcPr>
          <w:p w14:paraId="5D3A6B0B">
            <w:pPr>
              <w:autoSpaceDE w:val="0"/>
              <w:autoSpaceDN w:val="0"/>
              <w:adjustRightInd w:val="0"/>
              <w:spacing w:line="28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BR</w:t>
            </w:r>
          </w:p>
        </w:tc>
        <w:tc>
          <w:tcPr>
            <w:tcW w:w="400" w:type="pct"/>
            <w:shd w:val="clear" w:color="auto" w:fill="D7D7D7"/>
            <w:noWrap w:val="0"/>
            <w:vAlign w:val="center"/>
          </w:tcPr>
          <w:p w14:paraId="22D427EB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10</w:t>
            </w:r>
          </w:p>
        </w:tc>
        <w:tc>
          <w:tcPr>
            <w:tcW w:w="401" w:type="pct"/>
            <w:shd w:val="clear" w:color="auto" w:fill="D7D7D7"/>
            <w:noWrap w:val="0"/>
            <w:vAlign w:val="center"/>
          </w:tcPr>
          <w:p w14:paraId="23256175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D7D7D7"/>
            <w:noWrap w:val="0"/>
            <w:vAlign w:val="center"/>
          </w:tcPr>
          <w:p w14:paraId="23AE470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1000</w:t>
            </w:r>
          </w:p>
        </w:tc>
        <w:tc>
          <w:tcPr>
            <w:tcW w:w="641" w:type="pct"/>
            <w:shd w:val="clear" w:color="auto" w:fill="D7D7D7"/>
            <w:noWrap w:val="0"/>
            <w:vAlign w:val="center"/>
          </w:tcPr>
          <w:p w14:paraId="24051FE9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Mb/sec</w:t>
            </w:r>
          </w:p>
        </w:tc>
        <w:tc>
          <w:tcPr>
            <w:tcW w:w="1497" w:type="pct"/>
            <w:shd w:val="clear" w:color="auto" w:fill="D7D7D7"/>
            <w:noWrap w:val="0"/>
            <w:vAlign w:val="top"/>
          </w:tcPr>
          <w:p w14:paraId="45550ABB">
            <w:pPr>
              <w:pStyle w:val="9"/>
              <w:jc w:val="both"/>
              <w:rPr>
                <w:rFonts w:hint="eastAsia" w:ascii="Calibri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IEEE 802.3 compatible.</w:t>
            </w:r>
          </w:p>
          <w:p w14:paraId="51829C6F">
            <w:pPr>
              <w:pStyle w:val="9"/>
              <w:jc w:val="both"/>
              <w:rPr>
                <w:rFonts w:hint="eastAsia" w:ascii="Calibri" w:hAnsi="Arial" w:cs="Arial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 xml:space="preserve">See Notes 2 through </w:t>
            </w:r>
            <w:r>
              <w:rPr>
                <w:rFonts w:hint="eastAsia" w:ascii="Calibri"/>
                <w:sz w:val="20"/>
                <w:szCs w:val="20"/>
              </w:rPr>
              <w:t>3</w:t>
            </w:r>
            <w:r>
              <w:rPr>
                <w:rFonts w:ascii="Calibri"/>
                <w:sz w:val="20"/>
                <w:szCs w:val="20"/>
              </w:rPr>
              <w:t xml:space="preserve"> below</w:t>
            </w:r>
          </w:p>
        </w:tc>
      </w:tr>
      <w:tr w14:paraId="4C0D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1020" w:type="pct"/>
            <w:shd w:val="clear" w:color="auto" w:fill="F1F1F1"/>
            <w:noWrap w:val="0"/>
            <w:vAlign w:val="center"/>
          </w:tcPr>
          <w:p w14:paraId="1295C01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Cable Length</w:t>
            </w:r>
          </w:p>
        </w:tc>
        <w:tc>
          <w:tcPr>
            <w:tcW w:w="561" w:type="pct"/>
            <w:shd w:val="clear" w:color="auto" w:fill="F1F1F1"/>
            <w:noWrap w:val="0"/>
            <w:vAlign w:val="center"/>
          </w:tcPr>
          <w:p w14:paraId="148243BF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L</w:t>
            </w:r>
          </w:p>
        </w:tc>
        <w:tc>
          <w:tcPr>
            <w:tcW w:w="400" w:type="pct"/>
            <w:shd w:val="clear" w:color="auto" w:fill="F1F1F1"/>
            <w:noWrap w:val="0"/>
            <w:vAlign w:val="center"/>
          </w:tcPr>
          <w:p w14:paraId="78BF2E0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F1F1F1"/>
            <w:noWrap w:val="0"/>
            <w:vAlign w:val="center"/>
          </w:tcPr>
          <w:p w14:paraId="4CCD9CBD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80" w:type="pct"/>
            <w:shd w:val="clear" w:color="auto" w:fill="F1F1F1"/>
            <w:noWrap w:val="0"/>
            <w:vAlign w:val="center"/>
          </w:tcPr>
          <w:p w14:paraId="008041C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100</w:t>
            </w:r>
          </w:p>
        </w:tc>
        <w:tc>
          <w:tcPr>
            <w:tcW w:w="641" w:type="pct"/>
            <w:shd w:val="clear" w:color="auto" w:fill="F1F1F1"/>
            <w:noWrap w:val="0"/>
            <w:vAlign w:val="center"/>
          </w:tcPr>
          <w:p w14:paraId="2190B63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m</w:t>
            </w:r>
          </w:p>
        </w:tc>
        <w:tc>
          <w:tcPr>
            <w:tcW w:w="1497" w:type="pct"/>
            <w:shd w:val="clear" w:color="auto" w:fill="F1F1F1"/>
            <w:noWrap w:val="0"/>
            <w:vAlign w:val="top"/>
          </w:tcPr>
          <w:p w14:paraId="2BDD18B5"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Category 5 UTP.  BER</w:t>
            </w:r>
          </w:p>
        </w:tc>
      </w:tr>
    </w:tbl>
    <w:p w14:paraId="3971CB57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b/>
          <w:bCs/>
          <w:kern w:val="0"/>
          <w:sz w:val="22"/>
          <w:szCs w:val="22"/>
        </w:rPr>
        <w:t xml:space="preserve">Notes: </w:t>
      </w:r>
    </w:p>
    <w:p w14:paraId="6AEEF31D">
      <w:pPr>
        <w:autoSpaceDE w:val="0"/>
        <w:autoSpaceDN w:val="0"/>
        <w:adjustRightInd w:val="0"/>
        <w:spacing w:line="360" w:lineRule="auto"/>
        <w:jc w:val="left"/>
        <w:rPr>
          <w:rFonts w:ascii="Calibri" w:hAnsi="Arial" w:cs="Arial"/>
          <w:b/>
          <w:bCs/>
          <w:kern w:val="0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 xml:space="preserve">1. Clock tolerance is +/- 50 ppm </w:t>
      </w:r>
    </w:p>
    <w:p w14:paraId="6D6D0DBB">
      <w:pPr>
        <w:spacing w:line="360" w:lineRule="auto"/>
        <w:rPr>
          <w:rFonts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2. By default, the SFP-T-AUTO-SERDES</w:t>
      </w:r>
      <w:r>
        <w:rPr>
          <w:rFonts w:hint="eastAsia" w:ascii="Calibri" w:hAnsi="Arial" w:cs="Arial"/>
          <w:kern w:val="0"/>
          <w:sz w:val="22"/>
          <w:szCs w:val="22"/>
        </w:rPr>
        <w:t xml:space="preserve">  </w:t>
      </w:r>
      <w:r>
        <w:rPr>
          <w:rFonts w:ascii="Calibri" w:hAnsi="Arial" w:cs="Arial"/>
          <w:kern w:val="0"/>
          <w:sz w:val="22"/>
          <w:szCs w:val="22"/>
        </w:rPr>
        <w:t>is a full duplex device in preferred master mode</w:t>
      </w:r>
    </w:p>
    <w:p w14:paraId="26CD2BE4">
      <w:pPr>
        <w:spacing w:line="360" w:lineRule="auto"/>
        <w:rPr>
          <w:rFonts w:hint="eastAsia" w:ascii="Calibri" w:hAnsi="Arial" w:cs="Arial"/>
          <w:sz w:val="22"/>
          <w:szCs w:val="22"/>
        </w:rPr>
      </w:pPr>
      <w:r>
        <w:rPr>
          <w:rFonts w:ascii="Calibri" w:hAnsi="Arial" w:cs="Arial"/>
          <w:kern w:val="0"/>
          <w:sz w:val="22"/>
          <w:szCs w:val="22"/>
        </w:rPr>
        <w:t>3. Automatic crossover detection is enabled.  External crossover cable is not required</w:t>
      </w:r>
    </w:p>
    <w:p w14:paraId="4FBC1CC2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9.</w:t>
      </w:r>
      <w:r>
        <w:rPr>
          <w:rFonts w:ascii="Calibri" w:hAnsi="Arial" w:cs="Arial"/>
          <w:b/>
          <w:sz w:val="30"/>
          <w:szCs w:val="30"/>
        </w:rPr>
        <w:t>Environmental Specifications</w:t>
      </w:r>
    </w:p>
    <w:tbl>
      <w:tblPr>
        <w:tblStyle w:val="4"/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15011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  <w:jc w:val="center"/>
        </w:trPr>
        <w:tc>
          <w:tcPr>
            <w:tcW w:w="5000" w:type="pct"/>
            <w:gridSpan w:val="7"/>
            <w:shd w:val="clear" w:color="auto" w:fill="1F497D"/>
            <w:noWrap w:val="0"/>
            <w:vAlign w:val="center"/>
          </w:tcPr>
          <w:p w14:paraId="1D4F280E">
            <w:pPr>
              <w:autoSpaceDE w:val="0"/>
              <w:autoSpaceDN w:val="0"/>
              <w:adjustRightInd w:val="0"/>
              <w:spacing w:line="311" w:lineRule="exact"/>
              <w:jc w:val="center"/>
              <w:rPr>
                <w:rFonts w:ascii="Calibri"/>
                <w:color w:val="FFFFFF"/>
                <w:kern w:val="0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kern w:val="0"/>
                <w:sz w:val="20"/>
                <w:szCs w:val="20"/>
              </w:rPr>
              <w:t>Environmental</w:t>
            </w:r>
          </w:p>
          <w:p w14:paraId="20764D8E">
            <w:pPr>
              <w:pStyle w:val="9"/>
              <w:jc w:val="center"/>
              <w:rPr>
                <w:rFonts w:ascii="Calibri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Calibri"/>
                <w:b/>
                <w:bCs/>
                <w:color w:val="FFFFFF"/>
                <w:sz w:val="20"/>
                <w:szCs w:val="20"/>
              </w:rPr>
              <w:t>Specifications</w:t>
            </w:r>
          </w:p>
        </w:tc>
      </w:tr>
      <w:tr w14:paraId="040B2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3F3E8D2B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2B08C92D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A368D6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5CE52A5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7A33F9E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06563C45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unit</w:t>
            </w:r>
          </w:p>
        </w:tc>
        <w:tc>
          <w:tcPr>
            <w:tcW w:w="1259" w:type="pct"/>
            <w:shd w:val="clear" w:color="auto" w:fill="F1F1F1"/>
            <w:noWrap w:val="0"/>
            <w:vAlign w:val="center"/>
          </w:tcPr>
          <w:p w14:paraId="19099F34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bCs/>
                <w:sz w:val="20"/>
                <w:szCs w:val="20"/>
              </w:rPr>
              <w:t>Notes/Conditions</w:t>
            </w:r>
          </w:p>
        </w:tc>
      </w:tr>
      <w:tr w14:paraId="3E59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39" w:hRule="atLeast"/>
          <w:jc w:val="center"/>
        </w:trPr>
        <w:tc>
          <w:tcPr>
            <w:tcW w:w="1292" w:type="pct"/>
            <w:shd w:val="clear" w:color="auto" w:fill="D7D7D7"/>
            <w:noWrap w:val="0"/>
            <w:vAlign w:val="center"/>
          </w:tcPr>
          <w:p w14:paraId="6FE58DC7">
            <w:pPr>
              <w:autoSpaceDE w:val="0"/>
              <w:autoSpaceDN w:val="0"/>
              <w:adjustRightInd w:val="0"/>
              <w:spacing w:line="259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Operating Temperature</w:t>
            </w:r>
          </w:p>
        </w:tc>
        <w:tc>
          <w:tcPr>
            <w:tcW w:w="582" w:type="pct"/>
            <w:shd w:val="clear" w:color="auto" w:fill="D7D7D7"/>
            <w:noWrap w:val="0"/>
            <w:vAlign w:val="center"/>
          </w:tcPr>
          <w:p w14:paraId="5AECEB7A">
            <w:pPr>
              <w:autoSpaceDE w:val="0"/>
              <w:autoSpaceDN w:val="0"/>
              <w:adjustRightInd w:val="0"/>
              <w:spacing w:line="290" w:lineRule="exact"/>
              <w:ind w:firstLine="318" w:firstLineChars="159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Top</w:t>
            </w:r>
          </w:p>
        </w:tc>
        <w:tc>
          <w:tcPr>
            <w:tcW w:w="437" w:type="pct"/>
            <w:shd w:val="clear" w:color="auto" w:fill="D7D7D7"/>
            <w:noWrap w:val="0"/>
            <w:vAlign w:val="center"/>
          </w:tcPr>
          <w:p w14:paraId="7D73EF6B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hint="eastAsia" w:ascii="Calibri" w:eastAsia="FMJNJK+Arial"/>
                <w:sz w:val="20"/>
                <w:szCs w:val="20"/>
              </w:rPr>
              <w:t>0</w:t>
            </w:r>
          </w:p>
        </w:tc>
        <w:tc>
          <w:tcPr>
            <w:tcW w:w="465" w:type="pct"/>
            <w:shd w:val="clear" w:color="auto" w:fill="D7D7D7"/>
            <w:noWrap w:val="0"/>
            <w:vAlign w:val="center"/>
          </w:tcPr>
          <w:p w14:paraId="4E2B558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D7D7D7"/>
            <w:noWrap w:val="0"/>
            <w:vAlign w:val="center"/>
          </w:tcPr>
          <w:p w14:paraId="5D69855C">
            <w:pPr>
              <w:pStyle w:val="9"/>
              <w:jc w:val="center"/>
              <w:rPr>
                <w:rFonts w:hint="eastAsia" w:ascii="Calibri" w:eastAsia="FMJNJK+Arial"/>
                <w:sz w:val="20"/>
                <w:szCs w:val="20"/>
              </w:rPr>
            </w:pPr>
            <w:r>
              <w:rPr>
                <w:rFonts w:hint="eastAsia" w:ascii="Calibri" w:eastAsia="FMJNJK+Arial"/>
                <w:sz w:val="20"/>
                <w:szCs w:val="20"/>
              </w:rPr>
              <w:t>70</w:t>
            </w:r>
          </w:p>
        </w:tc>
        <w:tc>
          <w:tcPr>
            <w:tcW w:w="498" w:type="pct"/>
            <w:shd w:val="clear" w:color="auto" w:fill="D7D7D7"/>
            <w:noWrap w:val="0"/>
            <w:vAlign w:val="center"/>
          </w:tcPr>
          <w:p w14:paraId="76066CFB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hint="eastAsia"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259" w:type="pct"/>
            <w:shd w:val="clear" w:color="auto" w:fill="D7D7D7"/>
            <w:noWrap w:val="0"/>
            <w:vAlign w:val="center"/>
          </w:tcPr>
          <w:p w14:paraId="0232D360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sz w:val="20"/>
                <w:szCs w:val="20"/>
              </w:rPr>
              <w:t>Case temperature</w:t>
            </w:r>
          </w:p>
        </w:tc>
      </w:tr>
      <w:tr w14:paraId="0A664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  <w:jc w:val="center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64F92C79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Storage Temperature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44E2FEC0">
            <w:pPr>
              <w:autoSpaceDE w:val="0"/>
              <w:autoSpaceDN w:val="0"/>
              <w:adjustRightInd w:val="0"/>
              <w:spacing w:line="237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Tsto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7FE8086F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  <w:r>
              <w:rPr>
                <w:rFonts w:ascii="Calibri"/>
                <w:color w:val="auto"/>
                <w:sz w:val="20"/>
                <w:szCs w:val="20"/>
              </w:rPr>
              <w:t>-40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12C30873">
            <w:pPr>
              <w:pStyle w:val="9"/>
              <w:jc w:val="center"/>
              <w:rPr>
                <w:rFonts w:ascii="Calibri"/>
                <w:color w:val="auto"/>
                <w:sz w:val="20"/>
                <w:szCs w:val="20"/>
              </w:rPr>
            </w:pP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B117E11">
            <w:pPr>
              <w:pStyle w:val="9"/>
              <w:jc w:val="center"/>
              <w:rPr>
                <w:rFonts w:ascii="Calibri" w:eastAsia="FMJNJK+Arial"/>
                <w:sz w:val="20"/>
                <w:szCs w:val="20"/>
              </w:rPr>
            </w:pPr>
            <w:r>
              <w:rPr>
                <w:rFonts w:ascii="Calibri" w:eastAsia="FMJNJK+Arial"/>
                <w:sz w:val="20"/>
                <w:szCs w:val="20"/>
              </w:rPr>
              <w:t>85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26F924BE">
            <w:pPr>
              <w:autoSpaceDE w:val="0"/>
              <w:autoSpaceDN w:val="0"/>
              <w:adjustRightInd w:val="0"/>
              <w:spacing w:line="260" w:lineRule="exact"/>
              <w:ind w:firstLine="121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°C</w:t>
            </w:r>
          </w:p>
        </w:tc>
        <w:tc>
          <w:tcPr>
            <w:tcW w:w="1259" w:type="pct"/>
            <w:shd w:val="clear" w:color="auto" w:fill="F1F1F1"/>
            <w:noWrap w:val="0"/>
            <w:vAlign w:val="center"/>
          </w:tcPr>
          <w:p w14:paraId="70D9D3DF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Calibri"/>
                <w:b/>
                <w:bCs/>
                <w:kern w:val="0"/>
                <w:sz w:val="20"/>
                <w:szCs w:val="20"/>
              </w:rPr>
            </w:pPr>
            <w:r>
              <w:rPr>
                <w:rFonts w:ascii="Calibri"/>
                <w:kern w:val="0"/>
                <w:sz w:val="20"/>
                <w:szCs w:val="20"/>
              </w:rPr>
              <w:t>Ambient temperature</w:t>
            </w:r>
          </w:p>
        </w:tc>
      </w:tr>
    </w:tbl>
    <w:p w14:paraId="7983C72E">
      <w:pPr>
        <w:autoSpaceDE w:val="0"/>
        <w:autoSpaceDN w:val="0"/>
        <w:adjustRightInd w:val="0"/>
        <w:spacing w:before="120" w:beforeLines="50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10. Serial Communication Protocol</w:t>
      </w:r>
    </w:p>
    <w:p w14:paraId="7F2E781D">
      <w:pPr>
        <w:spacing w:after="120" w:afterLines="50" w:line="360" w:lineRule="auto"/>
        <w:ind w:firstLine="480" w:firstLineChars="200"/>
        <w:rPr>
          <w:rFonts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All </w:t>
      </w:r>
      <w:r>
        <w:rPr>
          <w:rFonts w:hint="eastAsia" w:ascii="Calibri" w:hAnsi="Arial" w:cs="Arial"/>
          <w:kern w:val="0"/>
          <w:sz w:val="24"/>
          <w:szCs w:val="24"/>
          <w:lang w:eastAsia="zh-CN"/>
        </w:rPr>
        <w:t>JH</w:t>
      </w:r>
      <w:r>
        <w:rPr>
          <w:rFonts w:ascii="Calibri" w:hAnsi="Arial" w:cs="Arial"/>
          <w:kern w:val="0"/>
          <w:sz w:val="24"/>
          <w:szCs w:val="24"/>
        </w:rPr>
        <w:t xml:space="preserve"> SFPs support the 2-wire serial communication protocol outlined in the SFP MSA. These SFPs use an MCU, can be accessed with address of A0h.</w:t>
      </w:r>
    </w:p>
    <w:p w14:paraId="49048918">
      <w:pPr>
        <w:spacing w:after="120" w:afterLines="50" w:line="360" w:lineRule="auto"/>
        <w:ind w:firstLine="480" w:firstLineChars="200"/>
        <w:rPr>
          <w:rFonts w:hint="eastAsia" w:ascii="Calibri" w:hAnsi="Arial" w:cs="Arial"/>
          <w:kern w:val="0"/>
          <w:sz w:val="24"/>
          <w:szCs w:val="24"/>
        </w:rPr>
      </w:pPr>
      <w:r>
        <w:rPr>
          <w:rFonts w:ascii="Calibri" w:hAnsi="Arial" w:cs="Arial"/>
          <w:kern w:val="0"/>
          <w:sz w:val="24"/>
          <w:szCs w:val="24"/>
        </w:rPr>
        <w:t xml:space="preserve">The SFP-T-AUTO-SERDES physical layer IC can also be accessed via the 2-wire serial bus at address ACh. </w:t>
      </w:r>
    </w:p>
    <w:tbl>
      <w:tblPr>
        <w:tblStyle w:val="4"/>
        <w:tblpPr w:leftFromText="180" w:rightFromText="180" w:vertAnchor="text" w:horzAnchor="margin" w:tblpY="143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1F1F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031"/>
        <w:gridCol w:w="774"/>
        <w:gridCol w:w="824"/>
        <w:gridCol w:w="829"/>
        <w:gridCol w:w="882"/>
        <w:gridCol w:w="2228"/>
      </w:tblGrid>
      <w:tr w14:paraId="5BD96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5000" w:type="pct"/>
            <w:gridSpan w:val="7"/>
            <w:shd w:val="clear" w:color="auto" w:fill="1D4576"/>
            <w:noWrap w:val="0"/>
            <w:vAlign w:val="center"/>
          </w:tcPr>
          <w:p w14:paraId="77DD2B6E">
            <w:pPr>
              <w:pStyle w:val="9"/>
              <w:jc w:val="center"/>
              <w:rPr>
                <w:rFonts w:ascii="Calibri"/>
                <w:b/>
                <w:color w:val="FFFFFF"/>
                <w:sz w:val="22"/>
                <w:szCs w:val="22"/>
              </w:rPr>
            </w:pPr>
            <w:r>
              <w:rPr>
                <w:rFonts w:ascii="Calibri"/>
                <w:b/>
                <w:bCs/>
                <w:color w:val="FFFFFF"/>
                <w:sz w:val="22"/>
                <w:szCs w:val="22"/>
              </w:rPr>
              <w:t>Serial Bus Timing,</w:t>
            </w:r>
            <w:r>
              <w:rPr>
                <w:rFonts w:ascii="Calibri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Calibri"/>
                <w:b/>
                <w:bCs/>
                <w:color w:val="FFFFFF"/>
                <w:sz w:val="22"/>
                <w:szCs w:val="22"/>
              </w:rPr>
              <w:t>Requirements</w:t>
            </w:r>
          </w:p>
        </w:tc>
      </w:tr>
      <w:tr w14:paraId="398D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30" w:hRule="atLeast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0E8D9347">
            <w:pPr>
              <w:autoSpaceDE w:val="0"/>
              <w:autoSpaceDN w:val="0"/>
              <w:adjustRightInd w:val="0"/>
              <w:jc w:val="center"/>
              <w:rPr>
                <w:rFonts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>Parameter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E2D011F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Symbol</w:t>
            </w: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1848E8CD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Min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48408116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color w:val="auto"/>
                <w:sz w:val="18"/>
                <w:szCs w:val="18"/>
              </w:rPr>
              <w:t>Typ</w:t>
            </w: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3715CFD2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Max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0E3ADA7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 w:eastAsia="FMJNJK+Arial"/>
                <w:sz w:val="18"/>
                <w:szCs w:val="18"/>
              </w:rPr>
              <w:t>unit</w:t>
            </w:r>
          </w:p>
        </w:tc>
        <w:tc>
          <w:tcPr>
            <w:tcW w:w="1258" w:type="pct"/>
            <w:shd w:val="clear" w:color="auto" w:fill="F1F1F1"/>
            <w:noWrap w:val="0"/>
            <w:vAlign w:val="center"/>
          </w:tcPr>
          <w:p w14:paraId="231DBE59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  <w:r>
              <w:rPr>
                <w:rFonts w:ascii="Calibri"/>
                <w:bCs/>
                <w:sz w:val="18"/>
                <w:szCs w:val="18"/>
              </w:rPr>
              <w:t>Notes/Conditions</w:t>
            </w:r>
          </w:p>
        </w:tc>
      </w:tr>
      <w:tr w14:paraId="1A1EF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1F1F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3" w:hRule="atLeast"/>
        </w:trPr>
        <w:tc>
          <w:tcPr>
            <w:tcW w:w="1292" w:type="pct"/>
            <w:shd w:val="clear" w:color="auto" w:fill="F1F1F1"/>
            <w:noWrap w:val="0"/>
            <w:vAlign w:val="center"/>
          </w:tcPr>
          <w:p w14:paraId="1F952D08">
            <w:pPr>
              <w:autoSpaceDE w:val="0"/>
              <w:autoSpaceDN w:val="0"/>
              <w:adjustRightInd w:val="0"/>
              <w:spacing w:line="261" w:lineRule="exact"/>
              <w:jc w:val="center"/>
              <w:rPr>
                <w:rFonts w:ascii="Calibri"/>
                <w:b/>
                <w:bCs/>
                <w:kern w:val="0"/>
                <w:sz w:val="18"/>
                <w:szCs w:val="18"/>
              </w:rPr>
            </w:pPr>
            <w:r>
              <w:rPr>
                <w:rFonts w:ascii="Calibri"/>
                <w:kern w:val="0"/>
                <w:sz w:val="18"/>
                <w:szCs w:val="18"/>
              </w:rPr>
              <w:t xml:space="preserve">I </w:t>
            </w:r>
            <w:r>
              <w:rPr>
                <w:rFonts w:ascii="Calibri"/>
                <w:kern w:val="0"/>
                <w:position w:val="6"/>
                <w:sz w:val="18"/>
                <w:szCs w:val="18"/>
              </w:rPr>
              <w:t>2</w:t>
            </w:r>
            <w:r>
              <w:rPr>
                <w:rFonts w:ascii="Calibri"/>
                <w:kern w:val="0"/>
                <w:sz w:val="18"/>
                <w:szCs w:val="18"/>
              </w:rPr>
              <w:t>C Clock Rate</w:t>
            </w:r>
          </w:p>
        </w:tc>
        <w:tc>
          <w:tcPr>
            <w:tcW w:w="582" w:type="pct"/>
            <w:shd w:val="clear" w:color="auto" w:fill="F1F1F1"/>
            <w:noWrap w:val="0"/>
            <w:vAlign w:val="center"/>
          </w:tcPr>
          <w:p w14:paraId="01E3432C">
            <w:pPr>
              <w:autoSpaceDE w:val="0"/>
              <w:autoSpaceDN w:val="0"/>
              <w:adjustRightInd w:val="0"/>
              <w:spacing w:line="237" w:lineRule="exact"/>
              <w:ind w:firstLine="262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37" w:type="pct"/>
            <w:shd w:val="clear" w:color="auto" w:fill="F1F1F1"/>
            <w:noWrap w:val="0"/>
            <w:vAlign w:val="center"/>
          </w:tcPr>
          <w:p w14:paraId="092994CC">
            <w:pPr>
              <w:pStyle w:val="9"/>
              <w:jc w:val="center"/>
              <w:rPr>
                <w:rFonts w:hint="eastAsia" w:ascii="Calibri"/>
                <w:color w:val="auto"/>
                <w:sz w:val="18"/>
                <w:szCs w:val="18"/>
              </w:rPr>
            </w:pPr>
            <w:r>
              <w:rPr>
                <w:rFonts w:hint="eastAsia" w:ascii="Calibri"/>
                <w:color w:val="auto"/>
                <w:sz w:val="18"/>
                <w:szCs w:val="18"/>
              </w:rPr>
              <w:t>0</w:t>
            </w:r>
          </w:p>
        </w:tc>
        <w:tc>
          <w:tcPr>
            <w:tcW w:w="465" w:type="pct"/>
            <w:shd w:val="clear" w:color="auto" w:fill="F1F1F1"/>
            <w:noWrap w:val="0"/>
            <w:vAlign w:val="center"/>
          </w:tcPr>
          <w:p w14:paraId="4FA51F3F">
            <w:pPr>
              <w:pStyle w:val="9"/>
              <w:jc w:val="center"/>
              <w:rPr>
                <w:rFonts w:ascii="Calibri"/>
                <w:color w:val="auto"/>
                <w:sz w:val="18"/>
                <w:szCs w:val="18"/>
              </w:rPr>
            </w:pPr>
          </w:p>
        </w:tc>
        <w:tc>
          <w:tcPr>
            <w:tcW w:w="468" w:type="pct"/>
            <w:shd w:val="clear" w:color="auto" w:fill="F1F1F1"/>
            <w:noWrap w:val="0"/>
            <w:vAlign w:val="center"/>
          </w:tcPr>
          <w:p w14:paraId="7B4C4D71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200,000</w:t>
            </w:r>
          </w:p>
        </w:tc>
        <w:tc>
          <w:tcPr>
            <w:tcW w:w="498" w:type="pct"/>
            <w:shd w:val="clear" w:color="auto" w:fill="F1F1F1"/>
            <w:noWrap w:val="0"/>
            <w:vAlign w:val="center"/>
          </w:tcPr>
          <w:p w14:paraId="4C6F42B0">
            <w:pPr>
              <w:pStyle w:val="9"/>
              <w:jc w:val="center"/>
              <w:rPr>
                <w:rFonts w:ascii="Calibri" w:eastAsia="FMJNJK+Arial"/>
                <w:sz w:val="18"/>
                <w:szCs w:val="18"/>
              </w:rPr>
            </w:pPr>
            <w:r>
              <w:rPr>
                <w:rFonts w:ascii="Calibri"/>
                <w:sz w:val="18"/>
                <w:szCs w:val="18"/>
              </w:rPr>
              <w:t>Hz</w:t>
            </w:r>
          </w:p>
        </w:tc>
        <w:tc>
          <w:tcPr>
            <w:tcW w:w="1258" w:type="pct"/>
            <w:shd w:val="clear" w:color="auto" w:fill="F1F1F1"/>
            <w:noWrap w:val="0"/>
            <w:vAlign w:val="center"/>
          </w:tcPr>
          <w:p w14:paraId="47837B10"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Calibri"/>
                <w:b/>
                <w:bCs/>
                <w:kern w:val="0"/>
                <w:sz w:val="18"/>
                <w:szCs w:val="18"/>
              </w:rPr>
            </w:pPr>
          </w:p>
        </w:tc>
      </w:tr>
    </w:tbl>
    <w:p w14:paraId="01E97134">
      <w:pPr>
        <w:spacing w:after="120" w:afterLines="50" w:line="360" w:lineRule="auto"/>
        <w:ind w:firstLine="482" w:firstLineChars="200"/>
        <w:rPr>
          <w:rFonts w:hint="eastAsia" w:ascii="Calibri" w:hAnsi="Arial" w:eastAsia="FMJNJK+Arial" w:cs="Arial"/>
          <w:b/>
          <w:sz w:val="24"/>
          <w:szCs w:val="24"/>
        </w:rPr>
      </w:pPr>
    </w:p>
    <w:p w14:paraId="470B85B6">
      <w:pPr>
        <w:autoSpaceDE w:val="0"/>
        <w:autoSpaceDN w:val="0"/>
        <w:adjustRightInd w:val="0"/>
        <w:spacing w:line="360" w:lineRule="auto"/>
        <w:jc w:val="left"/>
        <w:rPr>
          <w:rFonts w:hint="eastAsia" w:ascii="Calibri" w:hAnsi="Arial" w:cs="Arial"/>
          <w:b/>
          <w:sz w:val="30"/>
          <w:szCs w:val="30"/>
        </w:rPr>
      </w:pPr>
      <w:r>
        <w:rPr>
          <w:rFonts w:hint="eastAsia" w:ascii="Calibri" w:hAnsi="Arial" w:cs="Arial"/>
          <w:b/>
          <w:sz w:val="30"/>
          <w:szCs w:val="30"/>
        </w:rPr>
        <w:t>11.</w:t>
      </w:r>
      <w:r>
        <w:t xml:space="preserve"> </w:t>
      </w:r>
      <w:r>
        <w:rPr>
          <w:rFonts w:ascii="Calibri" w:hAnsi="Arial" w:cs="Arial"/>
          <w:b/>
          <w:sz w:val="30"/>
          <w:szCs w:val="30"/>
        </w:rPr>
        <w:t>Outline Dimensions (mm)</w:t>
      </w:r>
    </w:p>
    <w:p w14:paraId="631A5EBF">
      <w:pPr>
        <w:spacing w:after="120" w:afterLines="50"/>
        <w:jc w:val="center"/>
        <w:rPr>
          <w:rFonts w:hint="eastAsia" w:ascii="Calibri"/>
        </w:rPr>
      </w:pPr>
      <w:r>
        <w:rPr>
          <w:lang/>
        </w:rPr>
        <w:drawing>
          <wp:inline distT="0" distB="0" distL="114300" distR="114300">
            <wp:extent cx="5483860" cy="3053715"/>
            <wp:effectExtent l="0" t="0" r="254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2240" w:h="15840"/>
      <w:pgMar w:top="1440" w:right="1800" w:bottom="1440" w:left="1800" w:header="624" w:footer="51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FMJNJK+Arial">
    <w:altName w:val="仿宋"/>
    <w:panose1 w:val="00000000000000000000"/>
    <w:charset w:val="86"/>
    <w:family w:val="swiss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F552A">
    <w:pPr>
      <w:spacing w:line="240" w:lineRule="auto"/>
      <w:ind w:left="0"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1183FF22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2BC21CF2">
    <w:pPr>
      <w:pStyle w:val="2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2C7543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7C01D">
    <w:pPr>
      <w:pStyle w:val="3"/>
      <w:pBdr>
        <w:bottom w:val="none" w:color="auto" w:sz="0" w:space="31"/>
      </w:pBdr>
      <w:tabs>
        <w:tab w:val="left" w:pos="420"/>
        <w:tab w:val="clear" w:pos="4153"/>
      </w:tabs>
      <w:jc w:val="both"/>
      <w:rPr>
        <w:rFonts w:hint="eastAsia"/>
      </w:rPr>
    </w:pPr>
    <w:r>
      <w:rPr>
        <w:rFonts w:hint="eastAsia" w:eastAsia="宋体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17780</wp:posOffset>
          </wp:positionH>
          <wp:positionV relativeFrom="paragraph">
            <wp:posOffset>52705</wp:posOffset>
          </wp:positionV>
          <wp:extent cx="701040" cy="467995"/>
          <wp:effectExtent l="0" t="0" r="10160" b="1905"/>
          <wp:wrapSquare wrapText="bothSides"/>
          <wp:docPr id="6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-563245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5" name="Freeform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363435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2" o:spid="_x0000_s1026" o:spt="100" style="position:absolute;left:0pt;margin-left:-44.35pt;margin-top:17.05pt;height:6.65pt;width:5pt;z-index:-251655168;mso-width-relative:page;mso-height-relative:page;" fillcolor="#363435" filled="t" stroked="f" coordsize="100,133" o:gfxdata="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km+XjYAAAACQEAAA8AAAAAAAAAAQAgAAAAIgAAAGRycy9kb3ducmV2LnhtbFBLAQIUABQAAAAI&#10;AIdO4kAjhwkYJgIAAHAFAAAOAAAAAAAAAAEAIAAAACcBAABkcnMvZTJvRG9jLnhtbFBLBQYAAAAA&#10;BgAGAFkBAAC/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-467360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4" name="Freef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96989A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3" o:spid="_x0000_s1026" o:spt="100" style="position:absolute;left:0pt;margin-left:-36.8pt;margin-top:17.05pt;height:6.65pt;width:5pt;z-index:-251656192;mso-width-relative:page;mso-height-relative:page;" fillcolor="#96989A" filled="t" stroked="f" coordsize="100,133" o:gfxdata="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CQGX97ZAAAACQEAAA8AAAAAAAAAAQAgAAAAIgAAAGRycy9kb3ducmV2LnhtbFBLAQIU&#10;ABQAAAAIAIdO4kA6Y7T3KwIAAHAFAAAOAAAAAAAAAAEAIAAAACgBAABkcnMvZTJvRG9jLnhtbFBL&#10;BQYAAAAABgAGAFkBAADF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tab/>
    </w: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-371475</wp:posOffset>
              </wp:positionH>
              <wp:positionV relativeFrom="paragraph">
                <wp:posOffset>216535</wp:posOffset>
              </wp:positionV>
              <wp:extent cx="63500" cy="84455"/>
              <wp:effectExtent l="0" t="0" r="0" b="4445"/>
              <wp:wrapNone/>
              <wp:docPr id="3" name="Freeform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500" cy="8445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100" y="66"/>
                          </a:cxn>
                          <a:cxn ang="0">
                            <a:pos x="100" y="66"/>
                          </a:cxn>
                          <a:cxn ang="0">
                            <a:pos x="0" y="0"/>
                          </a:cxn>
                          <a:cxn ang="0">
                            <a:pos x="0" y="133"/>
                          </a:cxn>
                          <a:cxn ang="0">
                            <a:pos x="100" y="66"/>
                          </a:cxn>
                        </a:cxnLst>
                        <a:pathLst>
                          <a:path w="100" h="133">
                            <a:moveTo>
                              <a:pt x="100" y="66"/>
                            </a:moveTo>
                            <a:lnTo>
                              <a:pt x="100" y="66"/>
                            </a:lnTo>
                            <a:lnTo>
                              <a:pt x="0" y="0"/>
                            </a:lnTo>
                            <a:lnTo>
                              <a:pt x="0" y="133"/>
                            </a:lnTo>
                            <a:lnTo>
                              <a:pt x="100" y="66"/>
                            </a:lnTo>
                            <a:close/>
                          </a:path>
                        </a:pathLst>
                      </a:custGeom>
                      <a:solidFill>
                        <a:srgbClr val="E5E6E7"/>
                      </a:solidFill>
                      <a:ln>
                        <a:noFill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Freeform 4" o:spid="_x0000_s1026" o:spt="100" style="position:absolute;left:0pt;margin-left:-29.25pt;margin-top:17.05pt;height:6.65pt;width:5pt;z-index:-251657216;mso-width-relative:page;mso-height-relative:page;" fillcolor="#E5E6E7" filled="t" stroked="f" coordsize="100,133" o:gfxdata="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FojwDZAAAACQEAAA8AAAAAAAAAAQAgAAAAIgAAAGRycy9kb3ducmV2LnhtbFBLAQIUABQA&#10;AAAIAIdO4kDPyYFFKAIAAHAFAAAOAAAAAAAAAAEAIAAAACgBAABkcnMvZTJvRG9jLnhtbFBLBQYA&#10;AAAABgAGAFkBAADCBQAAAAA=&#10;" path="m100,66l100,66,0,0,0,133,100,66xe">
              <v:path o:connectlocs="100,66;100,66;0,0;0,133;100,66" o:connectangles="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41765C"/>
    <w:multiLevelType w:val="multilevel"/>
    <w:tmpl w:val="164176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doNotHyphenateCaps/>
  <w:drawingGridHorizontalSpacing w:val="120"/>
  <w:drawingGridVerticalSpacing w:val="120"/>
  <w:displayHorizontalDrawingGridEvery w:val="0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33"/>
    <w:rsid w:val="000053C9"/>
    <w:rsid w:val="00012A52"/>
    <w:rsid w:val="00022A86"/>
    <w:rsid w:val="000250B5"/>
    <w:rsid w:val="00025389"/>
    <w:rsid w:val="00037DEF"/>
    <w:rsid w:val="00052F69"/>
    <w:rsid w:val="000537FE"/>
    <w:rsid w:val="0005663E"/>
    <w:rsid w:val="00057157"/>
    <w:rsid w:val="00057800"/>
    <w:rsid w:val="000610A0"/>
    <w:rsid w:val="00061B1A"/>
    <w:rsid w:val="00072C44"/>
    <w:rsid w:val="000A02CC"/>
    <w:rsid w:val="000A35FC"/>
    <w:rsid w:val="000B4CEE"/>
    <w:rsid w:val="000C4D66"/>
    <w:rsid w:val="000C777F"/>
    <w:rsid w:val="000C7DE9"/>
    <w:rsid w:val="000D40CF"/>
    <w:rsid w:val="000D551F"/>
    <w:rsid w:val="000E5F23"/>
    <w:rsid w:val="001057FD"/>
    <w:rsid w:val="00110561"/>
    <w:rsid w:val="00113B1F"/>
    <w:rsid w:val="00121DB3"/>
    <w:rsid w:val="00126293"/>
    <w:rsid w:val="00132987"/>
    <w:rsid w:val="00155FE9"/>
    <w:rsid w:val="00156328"/>
    <w:rsid w:val="001563F9"/>
    <w:rsid w:val="00156928"/>
    <w:rsid w:val="0016595D"/>
    <w:rsid w:val="00171ADF"/>
    <w:rsid w:val="00175014"/>
    <w:rsid w:val="001768A2"/>
    <w:rsid w:val="00182076"/>
    <w:rsid w:val="00184ADD"/>
    <w:rsid w:val="001928EB"/>
    <w:rsid w:val="00193A1C"/>
    <w:rsid w:val="00193C5D"/>
    <w:rsid w:val="00196C64"/>
    <w:rsid w:val="001A1ECB"/>
    <w:rsid w:val="001A7671"/>
    <w:rsid w:val="001B0181"/>
    <w:rsid w:val="001B1484"/>
    <w:rsid w:val="001B5B30"/>
    <w:rsid w:val="001C0641"/>
    <w:rsid w:val="001C5157"/>
    <w:rsid w:val="001C61DF"/>
    <w:rsid w:val="001D3282"/>
    <w:rsid w:val="001D67BB"/>
    <w:rsid w:val="001E1569"/>
    <w:rsid w:val="001E2BB4"/>
    <w:rsid w:val="001F15A9"/>
    <w:rsid w:val="001F5BCC"/>
    <w:rsid w:val="00202CAA"/>
    <w:rsid w:val="002152D2"/>
    <w:rsid w:val="00215CBC"/>
    <w:rsid w:val="00217A87"/>
    <w:rsid w:val="00217E1D"/>
    <w:rsid w:val="0022114E"/>
    <w:rsid w:val="00224E5E"/>
    <w:rsid w:val="002303AA"/>
    <w:rsid w:val="00240B8D"/>
    <w:rsid w:val="002418D9"/>
    <w:rsid w:val="0024440E"/>
    <w:rsid w:val="00245113"/>
    <w:rsid w:val="00245314"/>
    <w:rsid w:val="002479D9"/>
    <w:rsid w:val="002515BE"/>
    <w:rsid w:val="002524F1"/>
    <w:rsid w:val="00254940"/>
    <w:rsid w:val="00254A11"/>
    <w:rsid w:val="00261DB5"/>
    <w:rsid w:val="00265A65"/>
    <w:rsid w:val="00266239"/>
    <w:rsid w:val="002737EA"/>
    <w:rsid w:val="002831F7"/>
    <w:rsid w:val="00287EE1"/>
    <w:rsid w:val="0029069D"/>
    <w:rsid w:val="0029299E"/>
    <w:rsid w:val="002942EE"/>
    <w:rsid w:val="00295ECF"/>
    <w:rsid w:val="002A2D86"/>
    <w:rsid w:val="002A5536"/>
    <w:rsid w:val="002A589C"/>
    <w:rsid w:val="002C7003"/>
    <w:rsid w:val="002D483B"/>
    <w:rsid w:val="002E1A1F"/>
    <w:rsid w:val="002E7042"/>
    <w:rsid w:val="002F207E"/>
    <w:rsid w:val="002F24AE"/>
    <w:rsid w:val="002F4009"/>
    <w:rsid w:val="00307B7E"/>
    <w:rsid w:val="0034017F"/>
    <w:rsid w:val="00343BFF"/>
    <w:rsid w:val="00346822"/>
    <w:rsid w:val="003522B8"/>
    <w:rsid w:val="00352BFF"/>
    <w:rsid w:val="00360D00"/>
    <w:rsid w:val="003639FB"/>
    <w:rsid w:val="00366738"/>
    <w:rsid w:val="00366C6A"/>
    <w:rsid w:val="00367FCD"/>
    <w:rsid w:val="0037141F"/>
    <w:rsid w:val="00373B2A"/>
    <w:rsid w:val="00380725"/>
    <w:rsid w:val="00391317"/>
    <w:rsid w:val="00394FFE"/>
    <w:rsid w:val="003A197A"/>
    <w:rsid w:val="003A27A3"/>
    <w:rsid w:val="003A51FA"/>
    <w:rsid w:val="003A5950"/>
    <w:rsid w:val="003A5957"/>
    <w:rsid w:val="003A647C"/>
    <w:rsid w:val="003A666E"/>
    <w:rsid w:val="003A77B5"/>
    <w:rsid w:val="003B353E"/>
    <w:rsid w:val="003B41A5"/>
    <w:rsid w:val="003C1990"/>
    <w:rsid w:val="003C3807"/>
    <w:rsid w:val="003C513E"/>
    <w:rsid w:val="003E249F"/>
    <w:rsid w:val="003E7D7E"/>
    <w:rsid w:val="003F1EB4"/>
    <w:rsid w:val="004062B1"/>
    <w:rsid w:val="004136F4"/>
    <w:rsid w:val="004229AD"/>
    <w:rsid w:val="00430CAE"/>
    <w:rsid w:val="00435D40"/>
    <w:rsid w:val="00443802"/>
    <w:rsid w:val="00453652"/>
    <w:rsid w:val="00463777"/>
    <w:rsid w:val="0047196F"/>
    <w:rsid w:val="00475B56"/>
    <w:rsid w:val="00477107"/>
    <w:rsid w:val="0048178F"/>
    <w:rsid w:val="00483458"/>
    <w:rsid w:val="004844EA"/>
    <w:rsid w:val="00491639"/>
    <w:rsid w:val="0049628D"/>
    <w:rsid w:val="0049692A"/>
    <w:rsid w:val="004A11A9"/>
    <w:rsid w:val="004A45C5"/>
    <w:rsid w:val="004A618F"/>
    <w:rsid w:val="004B1811"/>
    <w:rsid w:val="004B3466"/>
    <w:rsid w:val="004B347E"/>
    <w:rsid w:val="004C264D"/>
    <w:rsid w:val="004C478A"/>
    <w:rsid w:val="004C551C"/>
    <w:rsid w:val="004D129E"/>
    <w:rsid w:val="004D1364"/>
    <w:rsid w:val="004D6C68"/>
    <w:rsid w:val="004E4254"/>
    <w:rsid w:val="00501DD3"/>
    <w:rsid w:val="00504EA2"/>
    <w:rsid w:val="00510AA5"/>
    <w:rsid w:val="005166B9"/>
    <w:rsid w:val="00523B11"/>
    <w:rsid w:val="00523C63"/>
    <w:rsid w:val="0052442B"/>
    <w:rsid w:val="0052740B"/>
    <w:rsid w:val="00534511"/>
    <w:rsid w:val="00540284"/>
    <w:rsid w:val="00546B3C"/>
    <w:rsid w:val="00553D8B"/>
    <w:rsid w:val="00566DB5"/>
    <w:rsid w:val="00571D07"/>
    <w:rsid w:val="0057360F"/>
    <w:rsid w:val="00574B19"/>
    <w:rsid w:val="005760BE"/>
    <w:rsid w:val="00581C48"/>
    <w:rsid w:val="0058582D"/>
    <w:rsid w:val="00587CFF"/>
    <w:rsid w:val="00590407"/>
    <w:rsid w:val="00596259"/>
    <w:rsid w:val="005A547F"/>
    <w:rsid w:val="005A5E3A"/>
    <w:rsid w:val="005A681C"/>
    <w:rsid w:val="005B1996"/>
    <w:rsid w:val="005B1B24"/>
    <w:rsid w:val="005C1595"/>
    <w:rsid w:val="005C5406"/>
    <w:rsid w:val="005D7C11"/>
    <w:rsid w:val="005F400D"/>
    <w:rsid w:val="00600F4B"/>
    <w:rsid w:val="00601374"/>
    <w:rsid w:val="00610A95"/>
    <w:rsid w:val="006173F7"/>
    <w:rsid w:val="0063141F"/>
    <w:rsid w:val="00632D34"/>
    <w:rsid w:val="00646EBA"/>
    <w:rsid w:val="00657C9B"/>
    <w:rsid w:val="00671861"/>
    <w:rsid w:val="00686AC1"/>
    <w:rsid w:val="006870AC"/>
    <w:rsid w:val="006927D8"/>
    <w:rsid w:val="00692812"/>
    <w:rsid w:val="00696CF0"/>
    <w:rsid w:val="00697280"/>
    <w:rsid w:val="0069799E"/>
    <w:rsid w:val="00697DFA"/>
    <w:rsid w:val="006A0B69"/>
    <w:rsid w:val="006A1374"/>
    <w:rsid w:val="006A5A8E"/>
    <w:rsid w:val="006B1C3A"/>
    <w:rsid w:val="006B39CA"/>
    <w:rsid w:val="006C37B8"/>
    <w:rsid w:val="006C5770"/>
    <w:rsid w:val="00703C54"/>
    <w:rsid w:val="00710A1C"/>
    <w:rsid w:val="00711132"/>
    <w:rsid w:val="00714F0A"/>
    <w:rsid w:val="00717738"/>
    <w:rsid w:val="0072592F"/>
    <w:rsid w:val="00726AD0"/>
    <w:rsid w:val="00730BB7"/>
    <w:rsid w:val="00733964"/>
    <w:rsid w:val="00736F69"/>
    <w:rsid w:val="00742A66"/>
    <w:rsid w:val="00744BBF"/>
    <w:rsid w:val="00745FA8"/>
    <w:rsid w:val="0074646D"/>
    <w:rsid w:val="0075234D"/>
    <w:rsid w:val="00764736"/>
    <w:rsid w:val="00764F46"/>
    <w:rsid w:val="007766A8"/>
    <w:rsid w:val="007827A5"/>
    <w:rsid w:val="00783854"/>
    <w:rsid w:val="00784674"/>
    <w:rsid w:val="00794BD3"/>
    <w:rsid w:val="007A2D5B"/>
    <w:rsid w:val="007B1896"/>
    <w:rsid w:val="007B4994"/>
    <w:rsid w:val="007C2219"/>
    <w:rsid w:val="007D416A"/>
    <w:rsid w:val="007D6400"/>
    <w:rsid w:val="007E14E8"/>
    <w:rsid w:val="007E5193"/>
    <w:rsid w:val="007E5EC6"/>
    <w:rsid w:val="007E6A53"/>
    <w:rsid w:val="007F139B"/>
    <w:rsid w:val="007F49DF"/>
    <w:rsid w:val="007F67D0"/>
    <w:rsid w:val="007F71DB"/>
    <w:rsid w:val="00820A28"/>
    <w:rsid w:val="00821CD1"/>
    <w:rsid w:val="008269A2"/>
    <w:rsid w:val="00835B66"/>
    <w:rsid w:val="00837A07"/>
    <w:rsid w:val="0084055E"/>
    <w:rsid w:val="00845C7D"/>
    <w:rsid w:val="0084717B"/>
    <w:rsid w:val="00856BD2"/>
    <w:rsid w:val="0085706B"/>
    <w:rsid w:val="00857DB8"/>
    <w:rsid w:val="00870174"/>
    <w:rsid w:val="00883136"/>
    <w:rsid w:val="00884A5C"/>
    <w:rsid w:val="00884D8F"/>
    <w:rsid w:val="00885CE4"/>
    <w:rsid w:val="0089000D"/>
    <w:rsid w:val="0089302F"/>
    <w:rsid w:val="008A42F2"/>
    <w:rsid w:val="008A73FD"/>
    <w:rsid w:val="008B701F"/>
    <w:rsid w:val="008C0339"/>
    <w:rsid w:val="008C0E60"/>
    <w:rsid w:val="008C295A"/>
    <w:rsid w:val="008C56E6"/>
    <w:rsid w:val="008C7033"/>
    <w:rsid w:val="008E15E2"/>
    <w:rsid w:val="008F7C70"/>
    <w:rsid w:val="00904541"/>
    <w:rsid w:val="00910F0E"/>
    <w:rsid w:val="009213EF"/>
    <w:rsid w:val="00931A0F"/>
    <w:rsid w:val="00934C1A"/>
    <w:rsid w:val="00936201"/>
    <w:rsid w:val="0094744B"/>
    <w:rsid w:val="009535AA"/>
    <w:rsid w:val="009543AD"/>
    <w:rsid w:val="00957506"/>
    <w:rsid w:val="00961CBC"/>
    <w:rsid w:val="009632C1"/>
    <w:rsid w:val="00970C61"/>
    <w:rsid w:val="009873DF"/>
    <w:rsid w:val="00994F2B"/>
    <w:rsid w:val="009A05FD"/>
    <w:rsid w:val="009A4697"/>
    <w:rsid w:val="009A7BD9"/>
    <w:rsid w:val="009B0624"/>
    <w:rsid w:val="009B18A4"/>
    <w:rsid w:val="009B248C"/>
    <w:rsid w:val="009B3F2B"/>
    <w:rsid w:val="009B423F"/>
    <w:rsid w:val="009C3B3F"/>
    <w:rsid w:val="009C4448"/>
    <w:rsid w:val="009D3FBC"/>
    <w:rsid w:val="009E3A3A"/>
    <w:rsid w:val="009F21B7"/>
    <w:rsid w:val="009F5638"/>
    <w:rsid w:val="009F7E2C"/>
    <w:rsid w:val="00A01DB8"/>
    <w:rsid w:val="00A01F76"/>
    <w:rsid w:val="00A05A81"/>
    <w:rsid w:val="00A17B26"/>
    <w:rsid w:val="00A20E72"/>
    <w:rsid w:val="00A2115B"/>
    <w:rsid w:val="00A2233F"/>
    <w:rsid w:val="00A241AD"/>
    <w:rsid w:val="00A42CF1"/>
    <w:rsid w:val="00A5080B"/>
    <w:rsid w:val="00A66E7E"/>
    <w:rsid w:val="00A679CF"/>
    <w:rsid w:val="00A70039"/>
    <w:rsid w:val="00A716BA"/>
    <w:rsid w:val="00A726BD"/>
    <w:rsid w:val="00A742F4"/>
    <w:rsid w:val="00A74A5C"/>
    <w:rsid w:val="00A830BE"/>
    <w:rsid w:val="00A933BD"/>
    <w:rsid w:val="00AA2750"/>
    <w:rsid w:val="00AA42D5"/>
    <w:rsid w:val="00AA49CE"/>
    <w:rsid w:val="00AA5B9B"/>
    <w:rsid w:val="00AB1FFA"/>
    <w:rsid w:val="00AB44DE"/>
    <w:rsid w:val="00AC57E4"/>
    <w:rsid w:val="00AE1796"/>
    <w:rsid w:val="00AE498D"/>
    <w:rsid w:val="00AE6270"/>
    <w:rsid w:val="00AF53E0"/>
    <w:rsid w:val="00B00940"/>
    <w:rsid w:val="00B01E7A"/>
    <w:rsid w:val="00B0585C"/>
    <w:rsid w:val="00B06104"/>
    <w:rsid w:val="00B07283"/>
    <w:rsid w:val="00B129A5"/>
    <w:rsid w:val="00B2219A"/>
    <w:rsid w:val="00B25A77"/>
    <w:rsid w:val="00B32E83"/>
    <w:rsid w:val="00B4418B"/>
    <w:rsid w:val="00B463EC"/>
    <w:rsid w:val="00B4786B"/>
    <w:rsid w:val="00B515F6"/>
    <w:rsid w:val="00B52E6E"/>
    <w:rsid w:val="00B5333A"/>
    <w:rsid w:val="00B551CA"/>
    <w:rsid w:val="00B57D98"/>
    <w:rsid w:val="00B63D2A"/>
    <w:rsid w:val="00B651E5"/>
    <w:rsid w:val="00B70B22"/>
    <w:rsid w:val="00B72C57"/>
    <w:rsid w:val="00B73584"/>
    <w:rsid w:val="00B83938"/>
    <w:rsid w:val="00B83E0B"/>
    <w:rsid w:val="00B85767"/>
    <w:rsid w:val="00B87399"/>
    <w:rsid w:val="00B92DE7"/>
    <w:rsid w:val="00BA0105"/>
    <w:rsid w:val="00BA4622"/>
    <w:rsid w:val="00BB6664"/>
    <w:rsid w:val="00BB7E48"/>
    <w:rsid w:val="00BC01EF"/>
    <w:rsid w:val="00BC40FD"/>
    <w:rsid w:val="00BD14F1"/>
    <w:rsid w:val="00BD47BA"/>
    <w:rsid w:val="00BD5FB0"/>
    <w:rsid w:val="00BE72BD"/>
    <w:rsid w:val="00BF6667"/>
    <w:rsid w:val="00C02049"/>
    <w:rsid w:val="00C0356E"/>
    <w:rsid w:val="00C0529E"/>
    <w:rsid w:val="00C05DD1"/>
    <w:rsid w:val="00C1044E"/>
    <w:rsid w:val="00C11E18"/>
    <w:rsid w:val="00C20FB8"/>
    <w:rsid w:val="00C2313D"/>
    <w:rsid w:val="00C31E95"/>
    <w:rsid w:val="00C36A41"/>
    <w:rsid w:val="00C443C5"/>
    <w:rsid w:val="00C44937"/>
    <w:rsid w:val="00C53966"/>
    <w:rsid w:val="00C54A85"/>
    <w:rsid w:val="00C716B9"/>
    <w:rsid w:val="00C722FC"/>
    <w:rsid w:val="00C72C2E"/>
    <w:rsid w:val="00C75AAD"/>
    <w:rsid w:val="00C84B3E"/>
    <w:rsid w:val="00C84E44"/>
    <w:rsid w:val="00C907B8"/>
    <w:rsid w:val="00C96567"/>
    <w:rsid w:val="00C969E9"/>
    <w:rsid w:val="00CA0499"/>
    <w:rsid w:val="00CA15EF"/>
    <w:rsid w:val="00CA6B65"/>
    <w:rsid w:val="00CB6473"/>
    <w:rsid w:val="00CB7D37"/>
    <w:rsid w:val="00CB7F83"/>
    <w:rsid w:val="00CD51E1"/>
    <w:rsid w:val="00CD5431"/>
    <w:rsid w:val="00CE01B0"/>
    <w:rsid w:val="00CE4357"/>
    <w:rsid w:val="00CF2602"/>
    <w:rsid w:val="00CF2F5E"/>
    <w:rsid w:val="00CF73AF"/>
    <w:rsid w:val="00CF7EAD"/>
    <w:rsid w:val="00D03913"/>
    <w:rsid w:val="00D23A7B"/>
    <w:rsid w:val="00D2523C"/>
    <w:rsid w:val="00D25FF5"/>
    <w:rsid w:val="00D26226"/>
    <w:rsid w:val="00D33391"/>
    <w:rsid w:val="00D35919"/>
    <w:rsid w:val="00D443E0"/>
    <w:rsid w:val="00D45E91"/>
    <w:rsid w:val="00D51C3E"/>
    <w:rsid w:val="00D55594"/>
    <w:rsid w:val="00D60DB5"/>
    <w:rsid w:val="00D61DDE"/>
    <w:rsid w:val="00D64541"/>
    <w:rsid w:val="00D93AAC"/>
    <w:rsid w:val="00DA018A"/>
    <w:rsid w:val="00DA06EE"/>
    <w:rsid w:val="00DA2163"/>
    <w:rsid w:val="00DA74C4"/>
    <w:rsid w:val="00DB6C9D"/>
    <w:rsid w:val="00DC1331"/>
    <w:rsid w:val="00DD38B8"/>
    <w:rsid w:val="00DD3BC1"/>
    <w:rsid w:val="00DD4A6F"/>
    <w:rsid w:val="00DD4C1C"/>
    <w:rsid w:val="00DD6BF8"/>
    <w:rsid w:val="00DE13B7"/>
    <w:rsid w:val="00DE30BA"/>
    <w:rsid w:val="00DE5866"/>
    <w:rsid w:val="00DE62DA"/>
    <w:rsid w:val="00DF041C"/>
    <w:rsid w:val="00DF17B3"/>
    <w:rsid w:val="00DF66D6"/>
    <w:rsid w:val="00DF7126"/>
    <w:rsid w:val="00DF7B7A"/>
    <w:rsid w:val="00E0299F"/>
    <w:rsid w:val="00E02FCF"/>
    <w:rsid w:val="00E1637F"/>
    <w:rsid w:val="00E26D63"/>
    <w:rsid w:val="00E35FC7"/>
    <w:rsid w:val="00E3714B"/>
    <w:rsid w:val="00E373FA"/>
    <w:rsid w:val="00E42501"/>
    <w:rsid w:val="00E47E5C"/>
    <w:rsid w:val="00E5592C"/>
    <w:rsid w:val="00E61AF0"/>
    <w:rsid w:val="00E62233"/>
    <w:rsid w:val="00E64B5B"/>
    <w:rsid w:val="00E74F0A"/>
    <w:rsid w:val="00E756C6"/>
    <w:rsid w:val="00EA2B69"/>
    <w:rsid w:val="00EA36A1"/>
    <w:rsid w:val="00EB1F79"/>
    <w:rsid w:val="00EB40A3"/>
    <w:rsid w:val="00EC34DE"/>
    <w:rsid w:val="00EC7394"/>
    <w:rsid w:val="00EC7CCE"/>
    <w:rsid w:val="00ED08DE"/>
    <w:rsid w:val="00ED3F6C"/>
    <w:rsid w:val="00ED7C79"/>
    <w:rsid w:val="00EE0869"/>
    <w:rsid w:val="00EE52C2"/>
    <w:rsid w:val="00EE61AB"/>
    <w:rsid w:val="00EF5AF3"/>
    <w:rsid w:val="00EF6EDA"/>
    <w:rsid w:val="00EF7E03"/>
    <w:rsid w:val="00F03133"/>
    <w:rsid w:val="00F10AF5"/>
    <w:rsid w:val="00F160D0"/>
    <w:rsid w:val="00F16A15"/>
    <w:rsid w:val="00F22E1F"/>
    <w:rsid w:val="00F35B96"/>
    <w:rsid w:val="00F44F81"/>
    <w:rsid w:val="00F457F4"/>
    <w:rsid w:val="00F5167C"/>
    <w:rsid w:val="00F519B1"/>
    <w:rsid w:val="00F61755"/>
    <w:rsid w:val="00F77015"/>
    <w:rsid w:val="00F842A0"/>
    <w:rsid w:val="00F86604"/>
    <w:rsid w:val="00F90DA7"/>
    <w:rsid w:val="00F912DB"/>
    <w:rsid w:val="00FA02F0"/>
    <w:rsid w:val="00FA108E"/>
    <w:rsid w:val="00FA4D85"/>
    <w:rsid w:val="00FA53B1"/>
    <w:rsid w:val="00FA69B0"/>
    <w:rsid w:val="00FA7461"/>
    <w:rsid w:val="00FB0FE6"/>
    <w:rsid w:val="00FB44CD"/>
    <w:rsid w:val="00FB6B8E"/>
    <w:rsid w:val="00FC1C17"/>
    <w:rsid w:val="00FC773A"/>
    <w:rsid w:val="00FD41B8"/>
    <w:rsid w:val="00FF246D"/>
    <w:rsid w:val="00FF38F0"/>
    <w:rsid w:val="00FF6157"/>
    <w:rsid w:val="04504D53"/>
    <w:rsid w:val="0811009C"/>
    <w:rsid w:val="0CDB60F5"/>
    <w:rsid w:val="200A1FA3"/>
    <w:rsid w:val="2FFD0D1C"/>
    <w:rsid w:val="555C2ACF"/>
    <w:rsid w:val="5D1076B3"/>
    <w:rsid w:val="5E197CB3"/>
    <w:rsid w:val="69C67741"/>
    <w:rsid w:val="6EED6C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正文 +5.5 磅"/>
    <w:basedOn w:val="1"/>
    <w:uiPriority w:val="0"/>
    <w:pPr>
      <w:autoSpaceDE w:val="0"/>
      <w:autoSpaceDN w:val="0"/>
      <w:adjustRightInd w:val="0"/>
      <w:spacing w:line="237" w:lineRule="exact"/>
      <w:ind w:firstLine="132"/>
      <w:jc w:val="left"/>
    </w:pPr>
    <w:rPr>
      <w:kern w:val="0"/>
      <w:sz w:val="18"/>
      <w:szCs w:val="18"/>
    </w:rPr>
  </w:style>
  <w:style w:type="paragraph" w:customStyle="1" w:styleId="8">
    <w:name w:val=" Char Char Char"/>
    <w:basedOn w:val="1"/>
    <w:semiHidden/>
    <w:uiPriority w:val="0"/>
    <w:pPr>
      <w:widowControl/>
      <w:spacing w:after="160" w:line="240" w:lineRule="exact"/>
      <w:jc w:val="left"/>
    </w:pPr>
    <w:rPr>
      <w:rFonts w:ascii="Arial" w:hAnsi="Arial"/>
      <w:kern w:val="0"/>
      <w:sz w:val="22"/>
      <w:szCs w:val="22"/>
      <w:lang w:eastAsia="en-US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xgiga%20datasheet\Bidi\glc-bx-d-u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glc-bx-d-u.dot</Template>
  <Company>Sky123.Org</Company>
  <Pages>5</Pages>
  <Words>455</Words>
  <Characters>2414</Characters>
  <Lines>39</Lines>
  <Paragraphs>11</Paragraphs>
  <TotalTime>20</TotalTime>
  <ScaleCrop>false</ScaleCrop>
  <LinksUpToDate>false</LinksUpToDate>
  <CharactersWithSpaces>2790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2024-02-19T08:28:00Z</dcterms:created>
  <dc:creator>Jack Woo</dc:creator>
  <cp:lastModifiedBy>昆仔</cp:lastModifiedBy>
  <cp:lastPrinted>2010-09-20T08:57:00Z</cp:lastPrinted>
  <dcterms:modified xsi:type="dcterms:W3CDTF">2026-08-27T02:11:52Z</dcterms:modified>
  <dc:title>FWDM-1519-7D-XX Spec C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eyJoZGlkIjoiNzU3OTY3NTAzNzU4YmMwNzhiMzdmZGZjMWZkN2U5Y2QiLCJ1c2VySWQiOiI1MzU5NzcyNzIifQ==</vt:lpwstr>
  </property>
  <property fmtid="{D5CDD505-2E9C-101B-9397-08002B2CF9AE}" pid="4" name="ICV">
    <vt:lpwstr>D77B06972FDF45399328EFF2BADACFEC_13</vt:lpwstr>
  </property>
</Properties>
</file>